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Times New Roman" w:eastAsia="楷体" w:cs="Times New Roman"/>
          <w:b/>
          <w:bCs/>
          <w:color w:val="auto"/>
          <w:spacing w:val="40"/>
          <w:sz w:val="96"/>
          <w:szCs w:val="96"/>
        </w:rPr>
      </w:pPr>
      <w:r>
        <w:rPr>
          <w:rFonts w:ascii="Times New Roman" w:eastAsia="楷体" w:cs="Times New Roman"/>
          <w:b/>
          <w:bCs/>
          <w:color w:val="auto"/>
          <w:spacing w:val="40"/>
          <w:sz w:val="96"/>
          <w:szCs w:val="9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9525</wp:posOffset>
            </wp:positionV>
            <wp:extent cx="847725" cy="847725"/>
            <wp:effectExtent l="19050" t="0" r="9525" b="0"/>
            <wp:wrapNone/>
            <wp:docPr id="3" name="图片 3" descr="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维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楷体" w:cs="Times New Roman"/>
          <w:b/>
          <w:bCs/>
          <w:color w:val="auto"/>
          <w:spacing w:val="40"/>
          <w:sz w:val="96"/>
          <w:szCs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1191895" cy="895350"/>
            <wp:effectExtent l="0" t="0" r="8255" b="0"/>
            <wp:wrapNone/>
            <wp:docPr id="2" name="图片 2" descr="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jc w:val="center"/>
        <w:outlineLvl w:val="0"/>
        <w:rPr>
          <w:rFonts w:ascii="Times New Roman" w:eastAsia="楷体" w:cs="Times New Roman"/>
          <w:b/>
          <w:bCs/>
          <w:color w:val="auto"/>
          <w:spacing w:val="40"/>
          <w:szCs w:val="21"/>
        </w:rPr>
      </w:pPr>
    </w:p>
    <w:p>
      <w:pPr>
        <w:jc w:val="center"/>
        <w:outlineLvl w:val="0"/>
        <w:rPr>
          <w:rFonts w:ascii="Times New Roman" w:eastAsia="楷体" w:cs="Times New Roman"/>
          <w:b/>
          <w:bCs/>
          <w:color w:val="auto"/>
          <w:spacing w:val="40"/>
          <w:szCs w:val="21"/>
        </w:rPr>
      </w:pPr>
    </w:p>
    <w:p>
      <w:pPr>
        <w:jc w:val="center"/>
        <w:outlineLvl w:val="0"/>
        <w:rPr>
          <w:rFonts w:ascii="Times New Roman" w:eastAsia="楷体" w:cs="Times New Roman"/>
          <w:b/>
          <w:bCs/>
          <w:color w:val="auto"/>
          <w:spacing w:val="40"/>
          <w:szCs w:val="21"/>
        </w:rPr>
      </w:pPr>
    </w:p>
    <w:p>
      <w:pPr>
        <w:jc w:val="center"/>
        <w:outlineLvl w:val="0"/>
        <w:rPr>
          <w:rFonts w:ascii="Times New Roman" w:hAnsi="Times New Roman" w:eastAsia="楷体" w:cs="Times New Roman"/>
          <w:b/>
          <w:bCs/>
          <w:color w:val="auto"/>
          <w:spacing w:val="40"/>
          <w:sz w:val="96"/>
          <w:szCs w:val="96"/>
        </w:rPr>
      </w:pPr>
      <w:r>
        <w:rPr>
          <w:rFonts w:ascii="Times New Roman" w:eastAsia="楷体" w:cs="Times New Roman"/>
          <w:b/>
          <w:bCs/>
          <w:color w:val="auto"/>
          <w:spacing w:val="40"/>
          <w:sz w:val="96"/>
          <w:szCs w:val="96"/>
        </w:rPr>
        <w:t>检测报告</w:t>
      </w:r>
    </w:p>
    <w:p>
      <w:pPr>
        <w:spacing w:line="240" w:lineRule="exact"/>
        <w:jc w:val="center"/>
        <w:outlineLvl w:val="0"/>
        <w:rPr>
          <w:rFonts w:ascii="Times New Roman" w:hAnsi="Times New Roman" w:eastAsia="楷体" w:cs="Times New Roman"/>
          <w:b/>
          <w:bCs/>
          <w:color w:val="auto"/>
          <w:sz w:val="96"/>
        </w:rPr>
      </w:pPr>
    </w:p>
    <w:p>
      <w:pPr>
        <w:jc w:val="center"/>
        <w:rPr>
          <w:rFonts w:ascii="Times New Roman" w:hAnsi="Times New Roman" w:eastAsia="楷体" w:cs="Times New Roman"/>
          <w:b/>
          <w:bCs/>
          <w:i/>
          <w:iCs/>
          <w:color w:val="auto"/>
          <w:sz w:val="44"/>
          <w:szCs w:val="44"/>
        </w:rPr>
      </w:pPr>
      <w:r>
        <w:rPr>
          <w:rFonts w:ascii="Times New Roman" w:hAnsi="Times New Roman" w:eastAsia="楷体" w:cs="Times New Roman"/>
          <w:b/>
          <w:bCs/>
          <w:i/>
          <w:iCs/>
          <w:color w:val="auto"/>
          <w:sz w:val="44"/>
          <w:szCs w:val="44"/>
        </w:rPr>
        <w:t>Test  Report</w:t>
      </w:r>
    </w:p>
    <w:p>
      <w:pPr>
        <w:jc w:val="center"/>
        <w:rPr>
          <w:rFonts w:ascii="Times New Roman" w:hAnsi="Times New Roman" w:eastAsia="楷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" w:cs="Times New Roman"/>
          <w:color w:val="auto"/>
          <w:sz w:val="32"/>
          <w:szCs w:val="32"/>
          <w:lang w:val="en-US" w:eastAsia="zh-CN"/>
        </w:rPr>
      </w:pPr>
      <w:r>
        <w:rPr>
          <w:rFonts w:ascii="Times New Roman" w:hAnsi="Times New Roman" w:eastAsia="楷体" w:cs="Times New Roman"/>
          <w:color w:val="auto"/>
          <w:sz w:val="32"/>
          <w:szCs w:val="32"/>
        </w:rPr>
        <w:t>ZH1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lang w:val="en-US" w:eastAsia="zh-CN"/>
        </w:rPr>
        <w:t>9</w:t>
      </w:r>
      <w:r>
        <w:rPr>
          <w:rFonts w:ascii="Times New Roman" w:hAnsi="Times New Roman" w:eastAsia="楷体" w:cs="Times New Roman"/>
          <w:color w:val="auto"/>
          <w:sz w:val="32"/>
          <w:szCs w:val="32"/>
        </w:rPr>
        <w:t>-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</w:rPr>
        <w:t>HBJC</w:t>
      </w:r>
      <w:r>
        <w:rPr>
          <w:rFonts w:ascii="Times New Roman" w:hAnsi="Times New Roman" w:eastAsia="楷体" w:cs="Times New Roman"/>
          <w:color w:val="auto"/>
          <w:sz w:val="32"/>
          <w:szCs w:val="32"/>
        </w:rPr>
        <w:t>-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lang w:val="en-US" w:eastAsia="zh-CN"/>
        </w:rPr>
        <w:t>115</w:t>
      </w:r>
    </w:p>
    <w:p>
      <w:pPr>
        <w:rPr>
          <w:rFonts w:ascii="Times New Roman" w:hAnsi="Times New Roman" w:eastAsia="楷体" w:cs="Times New Roman"/>
          <w:color w:val="auto"/>
        </w:rPr>
      </w:pPr>
    </w:p>
    <w:p>
      <w:pPr>
        <w:rPr>
          <w:rFonts w:ascii="Times New Roman" w:hAnsi="Times New Roman" w:eastAsia="楷体" w:cs="Times New Roman"/>
          <w:color w:val="auto"/>
        </w:rPr>
      </w:pPr>
    </w:p>
    <w:p>
      <w:pPr>
        <w:rPr>
          <w:rFonts w:ascii="Times New Roman" w:hAnsi="Times New Roman" w:eastAsia="楷体" w:cs="Times New Roman"/>
          <w:color w:val="auto"/>
        </w:rPr>
      </w:pPr>
    </w:p>
    <w:p>
      <w:pPr>
        <w:rPr>
          <w:rFonts w:ascii="Times New Roman" w:hAnsi="Times New Roman" w:eastAsia="楷体" w:cs="Times New Roman"/>
          <w:color w:val="auto"/>
        </w:rPr>
      </w:pPr>
    </w:p>
    <w:p>
      <w:pPr>
        <w:rPr>
          <w:rFonts w:ascii="Times New Roman" w:hAnsi="Times New Roman" w:eastAsia="楷体" w:cs="Times New Roman"/>
          <w:color w:val="auto"/>
        </w:rPr>
      </w:pPr>
    </w:p>
    <w:p>
      <w:pPr>
        <w:rPr>
          <w:rFonts w:ascii="Times New Roman" w:hAnsi="Times New Roman" w:eastAsia="楷体" w:cs="Times New Roman"/>
          <w:color w:val="auto"/>
        </w:rPr>
      </w:pPr>
    </w:p>
    <w:p>
      <w:pPr>
        <w:spacing w:line="240" w:lineRule="atLeast"/>
        <w:ind w:left="1920" w:hanging="1920" w:hangingChars="600"/>
        <w:jc w:val="left"/>
        <w:rPr>
          <w:rFonts w:hint="eastAsia" w:ascii="Times New Roman" w:hAnsi="Times New Roman" w:eastAsia="楷体" w:cs="Times New Roman"/>
          <w:color w:val="auto"/>
          <w:sz w:val="32"/>
          <w:szCs w:val="32"/>
          <w:u w:val="single"/>
          <w:lang w:val="en-US" w:eastAsia="zh-CN"/>
        </w:rPr>
      </w:pPr>
      <w:r>
        <w:rPr>
          <w:rFonts w:ascii="Times New Roman" w:eastAsia="楷体" w:cs="Times New Roman"/>
          <w:color w:val="auto"/>
          <w:sz w:val="32"/>
          <w:szCs w:val="32"/>
        </w:rPr>
        <w:t>项目名称</w:t>
      </w:r>
      <w:r>
        <w:rPr>
          <w:rFonts w:hint="eastAsia" w:ascii="Times New Roman" w:eastAsia="楷体" w:cs="Times New Roman"/>
          <w:color w:val="auto"/>
          <w:sz w:val="32"/>
          <w:szCs w:val="32"/>
          <w:u w:val="single"/>
          <w:lang w:val="en-US" w:eastAsia="zh-CN"/>
        </w:rPr>
        <w:t xml:space="preserve">                 土壤</w:t>
      </w:r>
      <w:r>
        <w:rPr>
          <w:rFonts w:ascii="Times New Roman" w:eastAsia="楷体" w:cs="Times New Roman"/>
          <w:color w:val="auto"/>
          <w:sz w:val="32"/>
          <w:szCs w:val="32"/>
          <w:u w:val="single"/>
        </w:rPr>
        <w:t>检测</w:t>
      </w:r>
      <w:r>
        <w:rPr>
          <w:rFonts w:hint="eastAsia" w:ascii="Times New Roman" w:eastAsia="楷体" w:cs="Times New Roman"/>
          <w:color w:val="auto"/>
          <w:sz w:val="32"/>
          <w:szCs w:val="32"/>
          <w:u w:val="single"/>
          <w:lang w:val="en-US" w:eastAsia="zh-CN"/>
        </w:rPr>
        <w:t xml:space="preserve">                </w:t>
      </w:r>
    </w:p>
    <w:p>
      <w:pPr>
        <w:spacing w:line="240" w:lineRule="atLeast"/>
        <w:ind w:left="750" w:hanging="750" w:hangingChars="500"/>
        <w:jc w:val="left"/>
        <w:rPr>
          <w:rFonts w:ascii="Times New Roman" w:hAnsi="Times New Roman" w:eastAsia="楷体" w:cs="Times New Roman"/>
          <w:color w:val="auto"/>
          <w:sz w:val="15"/>
          <w:szCs w:val="15"/>
        </w:rPr>
      </w:pPr>
    </w:p>
    <w:p>
      <w:pPr>
        <w:spacing w:line="240" w:lineRule="atLeast"/>
        <w:ind w:left="1600" w:hanging="1600" w:hangingChars="500"/>
        <w:jc w:val="left"/>
        <w:rPr>
          <w:rFonts w:ascii="Times New Roman" w:hAnsi="Times New Roman" w:eastAsia="楷体" w:cs="Times New Roman"/>
          <w:color w:val="auto"/>
          <w:szCs w:val="21"/>
          <w:u w:val="single"/>
          <w:lang w:val="en-US"/>
        </w:rPr>
      </w:pPr>
      <w:r>
        <w:rPr>
          <w:rFonts w:ascii="Times New Roman" w:eastAsia="楷体" w:cs="Times New Roman"/>
          <w:color w:val="auto"/>
          <w:sz w:val="32"/>
          <w:szCs w:val="32"/>
        </w:rPr>
        <w:t>委托单位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single"/>
        </w:rPr>
        <w:t xml:space="preserve">     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single"/>
          <w:lang w:val="en-US" w:eastAsia="zh-CN"/>
        </w:rPr>
        <w:t xml:space="preserve">       浙江华海致诚药业有限公司     </w:t>
      </w:r>
    </w:p>
    <w:p>
      <w:pPr>
        <w:ind w:left="1800" w:hanging="1800" w:hangingChars="500"/>
        <w:rPr>
          <w:rFonts w:ascii="Times New Roman" w:hAnsi="Times New Roman" w:eastAsia="楷体" w:cs="Times New Roman"/>
          <w:color w:val="auto"/>
          <w:sz w:val="36"/>
        </w:rPr>
      </w:pPr>
    </w:p>
    <w:p>
      <w:pPr>
        <w:ind w:left="1800" w:hanging="1800" w:hangingChars="500"/>
        <w:rPr>
          <w:rFonts w:ascii="Times New Roman" w:hAnsi="Times New Roman" w:eastAsia="楷体" w:cs="Times New Roman"/>
          <w:color w:val="auto"/>
          <w:sz w:val="36"/>
        </w:rPr>
      </w:pPr>
    </w:p>
    <w:p>
      <w:pPr>
        <w:jc w:val="center"/>
        <w:rPr>
          <w:rFonts w:ascii="Times New Roman" w:hAnsi="Times New Roman" w:eastAsia="楷体" w:cs="Times New Roman"/>
          <w:color w:val="auto"/>
          <w:sz w:val="36"/>
        </w:rPr>
      </w:pPr>
    </w:p>
    <w:p>
      <w:pPr>
        <w:rPr>
          <w:rFonts w:ascii="Times New Roman" w:hAnsi="Times New Roman" w:eastAsia="楷体" w:cs="Times New Roman"/>
          <w:color w:val="auto"/>
          <w:sz w:val="36"/>
        </w:rPr>
      </w:pPr>
    </w:p>
    <w:p>
      <w:pPr>
        <w:rPr>
          <w:rFonts w:ascii="Times New Roman" w:hAnsi="Times New Roman" w:eastAsia="楷体" w:cs="Times New Roman"/>
          <w:color w:val="auto"/>
          <w:sz w:val="36"/>
        </w:rPr>
      </w:pPr>
    </w:p>
    <w:p>
      <w:pPr>
        <w:rPr>
          <w:rFonts w:ascii="Times New Roman" w:hAnsi="Times New Roman" w:eastAsia="楷体" w:cs="Times New Roman"/>
          <w:color w:val="auto"/>
          <w:sz w:val="36"/>
        </w:rPr>
      </w:pPr>
    </w:p>
    <w:p>
      <w:pPr>
        <w:pStyle w:val="9"/>
        <w:jc w:val="center"/>
        <w:rPr>
          <w:rFonts w:ascii="Times New Roman" w:hAnsi="Times New Roman" w:eastAsia="楷体" w:cs="Times New Roman"/>
          <w:color w:val="auto"/>
          <w:spacing w:val="100"/>
          <w:sz w:val="36"/>
          <w:szCs w:val="32"/>
        </w:rPr>
      </w:pPr>
      <w:r>
        <w:rPr>
          <w:rFonts w:ascii="Times New Roman" w:hAnsi="楷体" w:eastAsia="楷体" w:cs="Times New Roman"/>
          <w:color w:val="auto"/>
          <w:spacing w:val="100"/>
          <w:sz w:val="36"/>
          <w:szCs w:val="32"/>
        </w:rPr>
        <w:t>浙江浙海环保科技有限公司</w:t>
      </w:r>
    </w:p>
    <w:p>
      <w:pPr>
        <w:jc w:val="center"/>
        <w:rPr>
          <w:rFonts w:ascii="Times New Roman" w:eastAsia="楷体" w:cs="Times New Roman"/>
          <w:color w:val="auto"/>
          <w:sz w:val="52"/>
        </w:rPr>
      </w:pPr>
      <w:r>
        <w:rPr>
          <w:rFonts w:ascii="Times New Roman" w:hAnsi="Times New Roman" w:eastAsia="楷体" w:cs="Times New Roman"/>
          <w:i/>
          <w:iCs/>
          <w:color w:val="auto"/>
          <w:sz w:val="28"/>
          <w:szCs w:val="32"/>
        </w:rPr>
        <w:t>Shijiazhuang ZheHai Environmental Technology&amp; Engineering Co. Ltd</w:t>
      </w:r>
    </w:p>
    <w:p>
      <w:pPr>
        <w:jc w:val="center"/>
        <w:rPr>
          <w:rFonts w:ascii="Times New Roman" w:hAnsi="Times New Roman" w:eastAsia="楷体" w:cs="Times New Roman"/>
          <w:color w:val="auto"/>
          <w:sz w:val="52"/>
        </w:rPr>
      </w:pPr>
      <w:r>
        <w:rPr>
          <w:rFonts w:ascii="Times New Roman" w:eastAsia="楷体" w:cs="Times New Roman"/>
          <w:color w:val="auto"/>
          <w:sz w:val="52"/>
        </w:rPr>
        <w:t>说明</w:t>
      </w:r>
    </w:p>
    <w:p>
      <w:pPr>
        <w:tabs>
          <w:tab w:val="left" w:pos="6660"/>
        </w:tabs>
        <w:rPr>
          <w:rFonts w:ascii="Times New Roman" w:hAnsi="Times New Roman" w:eastAsia="楷体" w:cs="Times New Roman"/>
          <w:color w:val="auto"/>
          <w:sz w:val="44"/>
        </w:rPr>
      </w:pPr>
    </w:p>
    <w:p>
      <w:pPr>
        <w:pStyle w:val="2"/>
        <w:ind w:firstLine="640"/>
        <w:rPr>
          <w:rFonts w:ascii="Times New Roman" w:eastAsia="楷体"/>
          <w:color w:val="auto"/>
          <w:sz w:val="32"/>
        </w:rPr>
      </w:pPr>
      <w:r>
        <w:rPr>
          <w:rFonts w:ascii="Times New Roman" w:eastAsia="楷体"/>
          <w:color w:val="auto"/>
          <w:sz w:val="32"/>
        </w:rPr>
        <w:t>一、本报告无批准人签名，或涂改，或未加盖本公司检测报告专用章及骑缝章均无效；</w:t>
      </w:r>
    </w:p>
    <w:p>
      <w:pPr>
        <w:ind w:firstLine="640" w:firstLineChars="200"/>
        <w:rPr>
          <w:rFonts w:ascii="Times New Roman" w:hAnsi="Times New Roman" w:eastAsia="楷体" w:cs="Times New Roman"/>
          <w:color w:val="auto"/>
          <w:sz w:val="32"/>
        </w:rPr>
      </w:pPr>
      <w:r>
        <w:rPr>
          <w:rFonts w:ascii="Times New Roman" w:eastAsia="楷体" w:cs="Times New Roman"/>
          <w:color w:val="auto"/>
          <w:sz w:val="32"/>
        </w:rPr>
        <w:t>二、本报告部分复制，或完整复制后未加盖本公司检测报告专用章均无效；</w:t>
      </w:r>
    </w:p>
    <w:p>
      <w:pPr>
        <w:ind w:firstLine="640" w:firstLineChars="200"/>
        <w:rPr>
          <w:rFonts w:ascii="Times New Roman" w:hAnsi="Times New Roman" w:eastAsia="楷体" w:cs="Times New Roman"/>
          <w:color w:val="auto"/>
          <w:sz w:val="32"/>
        </w:rPr>
      </w:pPr>
      <w:r>
        <w:rPr>
          <w:rFonts w:ascii="Times New Roman" w:eastAsia="楷体" w:cs="Times New Roman"/>
          <w:color w:val="auto"/>
          <w:sz w:val="32"/>
        </w:rPr>
        <w:t>三、未经同意本报告不得用于广告宣传；</w:t>
      </w:r>
    </w:p>
    <w:p>
      <w:pPr>
        <w:ind w:firstLine="640" w:firstLineChars="200"/>
        <w:rPr>
          <w:rFonts w:ascii="Times New Roman" w:hAnsi="Times New Roman" w:eastAsia="楷体" w:cs="Times New Roman"/>
          <w:sz w:val="32"/>
        </w:rPr>
      </w:pPr>
      <w:r>
        <w:rPr>
          <w:rFonts w:ascii="Times New Roman" w:eastAsia="楷体" w:cs="Times New Roman"/>
          <w:sz w:val="32"/>
        </w:rPr>
        <w:t>四、</w:t>
      </w:r>
      <w:r>
        <w:rPr>
          <w:rFonts w:hint="eastAsia" w:ascii="Times New Roman" w:eastAsia="楷体" w:cs="Times New Roman"/>
          <w:sz w:val="32"/>
        </w:rPr>
        <w:t>委托现场</w:t>
      </w:r>
      <w:r>
        <w:rPr>
          <w:rFonts w:hint="eastAsia" w:ascii="Times New Roman" w:eastAsia="楷体" w:cs="Times New Roman"/>
          <w:sz w:val="32"/>
          <w:lang w:eastAsia="zh-CN"/>
        </w:rPr>
        <w:t>监测</w:t>
      </w:r>
      <w:r>
        <w:rPr>
          <w:rFonts w:hint="eastAsia" w:ascii="Times New Roman" w:eastAsia="楷体" w:cs="Times New Roman"/>
          <w:sz w:val="32"/>
        </w:rPr>
        <w:t>，本报告仅对本次样品负责；</w:t>
      </w:r>
      <w:r>
        <w:rPr>
          <w:rFonts w:ascii="Times New Roman" w:eastAsia="楷体" w:cs="Times New Roman"/>
          <w:sz w:val="32"/>
        </w:rPr>
        <w:t>由委托方采样送检的样品，本报告只对来样负责；</w:t>
      </w:r>
    </w:p>
    <w:p>
      <w:pPr>
        <w:ind w:firstLine="640" w:firstLineChars="200"/>
        <w:rPr>
          <w:rFonts w:ascii="Times New Roman" w:hAnsi="Times New Roman" w:eastAsia="楷体" w:cs="Times New Roman"/>
          <w:color w:val="auto"/>
          <w:sz w:val="32"/>
        </w:rPr>
      </w:pPr>
      <w:r>
        <w:rPr>
          <w:rFonts w:ascii="Times New Roman" w:eastAsia="楷体" w:cs="Times New Roman"/>
          <w:color w:val="auto"/>
          <w:sz w:val="32"/>
        </w:rPr>
        <w:t>五、委托方若对本报告有异议，请于收到报告之日起十五个工作日内向本公司提出。</w:t>
      </w:r>
    </w:p>
    <w:p>
      <w:pPr>
        <w:ind w:firstLine="640" w:firstLineChars="200"/>
        <w:rPr>
          <w:rFonts w:eastAsia="楷体"/>
          <w:color w:val="auto"/>
          <w:sz w:val="32"/>
        </w:rPr>
      </w:pPr>
    </w:p>
    <w:p>
      <w:pPr>
        <w:ind w:firstLine="880" w:firstLineChars="200"/>
        <w:rPr>
          <w:rFonts w:eastAsia="楷体"/>
          <w:color w:val="auto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color w:val="auto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color w:val="auto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color w:val="auto"/>
          <w:sz w:val="44"/>
        </w:rPr>
      </w:pPr>
    </w:p>
    <w:p>
      <w:pPr>
        <w:spacing w:line="240" w:lineRule="exact"/>
        <w:ind w:firstLine="880" w:firstLineChars="200"/>
        <w:rPr>
          <w:rFonts w:eastAsia="楷体"/>
          <w:color w:val="auto"/>
          <w:sz w:val="44"/>
        </w:rPr>
      </w:pPr>
    </w:p>
    <w:p>
      <w:pPr>
        <w:spacing w:line="240" w:lineRule="exact"/>
        <w:rPr>
          <w:rFonts w:eastAsia="楷体"/>
          <w:color w:val="auto"/>
          <w:sz w:val="44"/>
        </w:rPr>
      </w:pPr>
    </w:p>
    <w:p>
      <w:pPr>
        <w:spacing w:line="240" w:lineRule="exact"/>
        <w:rPr>
          <w:rFonts w:eastAsia="楷体"/>
          <w:color w:val="auto"/>
          <w:sz w:val="44"/>
        </w:rPr>
      </w:pPr>
    </w:p>
    <w:p>
      <w:pPr>
        <w:ind w:firstLine="640" w:firstLineChars="200"/>
        <w:rPr>
          <w:rFonts w:ascii="Times New Roman" w:hAnsi="Times New Roman" w:eastAsia="楷体" w:cs="Times New Roman"/>
          <w:color w:val="auto"/>
          <w:sz w:val="32"/>
        </w:rPr>
      </w:pPr>
      <w:r>
        <w:rPr>
          <w:rFonts w:ascii="Times New Roman" w:eastAsia="楷体" w:cs="Times New Roman"/>
          <w:color w:val="auto"/>
          <w:sz w:val="32"/>
        </w:rPr>
        <w:t>浙江浙海环保科技有限公司</w:t>
      </w:r>
    </w:p>
    <w:p>
      <w:pPr>
        <w:ind w:firstLine="640" w:firstLineChars="200"/>
        <w:rPr>
          <w:rFonts w:ascii="Times New Roman" w:hAnsi="Times New Roman" w:eastAsia="楷体" w:cs="Times New Roman"/>
          <w:color w:val="auto"/>
          <w:sz w:val="32"/>
        </w:rPr>
      </w:pPr>
      <w:r>
        <w:rPr>
          <w:rFonts w:ascii="Times New Roman" w:eastAsia="楷体" w:cs="Times New Roman"/>
          <w:color w:val="auto"/>
          <w:sz w:val="32"/>
        </w:rPr>
        <w:t>地址：临海市杜桥镇杜南大道医化园区</w:t>
      </w:r>
    </w:p>
    <w:p>
      <w:pPr>
        <w:ind w:firstLine="640" w:firstLineChars="200"/>
        <w:rPr>
          <w:rFonts w:ascii="Times New Roman" w:hAnsi="Times New Roman" w:eastAsia="楷体" w:cs="Times New Roman"/>
          <w:color w:val="auto"/>
          <w:sz w:val="32"/>
        </w:rPr>
      </w:pPr>
      <w:r>
        <w:rPr>
          <w:rFonts w:ascii="Times New Roman" w:eastAsia="楷体" w:cs="Times New Roman"/>
          <w:color w:val="auto"/>
          <w:sz w:val="32"/>
        </w:rPr>
        <w:t>邮编：</w:t>
      </w:r>
      <w:r>
        <w:rPr>
          <w:rFonts w:ascii="Times New Roman" w:hAnsi="Times New Roman" w:eastAsia="楷体" w:cs="Times New Roman"/>
          <w:color w:val="auto"/>
          <w:sz w:val="32"/>
        </w:rPr>
        <w:t>317016</w:t>
      </w:r>
    </w:p>
    <w:p>
      <w:pPr>
        <w:ind w:firstLine="640" w:firstLineChars="200"/>
        <w:rPr>
          <w:rFonts w:ascii="Times New Roman" w:hAnsi="Times New Roman" w:cs="Times New Roman"/>
          <w:color w:val="auto"/>
        </w:rPr>
      </w:pPr>
      <w:r>
        <w:rPr>
          <w:rFonts w:ascii="Times New Roman" w:eastAsia="楷体" w:cs="Times New Roman"/>
          <w:color w:val="auto"/>
          <w:sz w:val="32"/>
        </w:rPr>
        <w:t>电话：</w:t>
      </w:r>
      <w:r>
        <w:rPr>
          <w:rFonts w:ascii="Times New Roman" w:hAnsi="Times New Roman" w:eastAsia="楷体" w:cs="Times New Roman"/>
          <w:color w:val="auto"/>
          <w:sz w:val="32"/>
        </w:rPr>
        <w:t>0576-85581095</w: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425" w:num="1"/>
          <w:titlePg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80" w:lineRule="exact"/>
        <w:textAlignment w:val="auto"/>
        <w:outlineLvl w:val="9"/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/>
        </w:rPr>
      </w:pPr>
      <w:r>
        <w:rPr>
          <w:rFonts w:ascii="Times New Roman" w:hAnsi="Times New Roman" w:eastAsia="楷体" w:cs="Times New Roman"/>
          <w:b w:val="0"/>
          <w:bCs w:val="0"/>
          <w:color w:val="auto"/>
          <w:sz w:val="24"/>
        </w:rPr>
        <w:t>委托方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ab/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  浙江华海致诚药业有限公司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none"/>
          <w:lang w:val="en-US" w:eastAsia="zh-CN"/>
        </w:rPr>
        <w:t>委托方地址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  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shd w:val="clear"/>
          <w:lang w:val="en-US" w:eastAsia="zh-CN"/>
        </w:rPr>
        <w:t xml:space="preserve"> 浙江省台州市临海市杜桥镇医化园区东海第五大道7号</w:t>
      </w:r>
      <w:r>
        <w:rPr>
          <w:rFonts w:hint="eastAsia" w:ascii="Times New Roman" w:hAnsi="Times New Roman" w:eastAsia="楷体" w:cs="Times New Roman"/>
          <w:color w:val="auto"/>
          <w:sz w:val="24"/>
          <w:u w:val="singl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</w:pPr>
      <w:r>
        <w:rPr>
          <w:rFonts w:ascii="Times New Roman" w:hAnsi="Times New Roman" w:eastAsia="楷体" w:cs="Times New Roman"/>
          <w:b w:val="0"/>
          <w:bCs w:val="0"/>
          <w:color w:val="auto"/>
          <w:sz w:val="24"/>
        </w:rPr>
        <w:t>样品类别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   土壤   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</w:rPr>
        <w:t xml:space="preserve">   检测类别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</w:rPr>
        <w:t xml:space="preserve">   委托检测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</w:rPr>
        <w:t>采样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</w:rPr>
        <w:t>日期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   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201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>9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年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>03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月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23、24日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</w:rPr>
        <w:t>检测日期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   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201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>9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年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>03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月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>23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  <w:u w:val="single"/>
        </w:rPr>
        <w:t>日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eastAsia="zh-CN"/>
        </w:rPr>
        <w:t>至</w:t>
      </w: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u w:val="single"/>
          <w:lang w:val="en-US" w:eastAsia="zh-CN"/>
        </w:rPr>
        <w:t xml:space="preserve">2019年03月12日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jc w:val="both"/>
        <w:textAlignment w:val="auto"/>
        <w:outlineLvl w:val="9"/>
        <w:rPr>
          <w:rFonts w:ascii="Times New Roman" w:hAnsi="Times New Roman" w:eastAsia="楷体" w:cs="Times New Roman"/>
          <w:b w:val="0"/>
          <w:bCs w:val="0"/>
          <w:color w:val="auto"/>
          <w:sz w:val="24"/>
        </w:rPr>
      </w:pPr>
      <w:r>
        <w:rPr>
          <w:rFonts w:hint="eastAsia" w:ascii="Times New Roman" w:hAnsi="Times New Roman" w:eastAsia="楷体" w:cs="Times New Roman"/>
          <w:b w:val="0"/>
          <w:bCs w:val="0"/>
          <w:color w:val="auto"/>
          <w:sz w:val="24"/>
          <w:lang w:eastAsia="zh-CN"/>
        </w:rPr>
        <w:t>主要</w:t>
      </w:r>
      <w:r>
        <w:rPr>
          <w:rFonts w:ascii="Times New Roman" w:hAnsi="Times New Roman" w:eastAsia="楷体" w:cs="Times New Roman"/>
          <w:b w:val="0"/>
          <w:bCs w:val="0"/>
          <w:color w:val="auto"/>
          <w:sz w:val="24"/>
        </w:rPr>
        <w:t>检测方法依据</w:t>
      </w:r>
    </w:p>
    <w:tbl>
      <w:tblPr>
        <w:tblStyle w:val="6"/>
        <w:tblW w:w="9715" w:type="dxa"/>
        <w:jc w:val="center"/>
        <w:tblInd w:w="-8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8"/>
        <w:gridCol w:w="691"/>
        <w:gridCol w:w="4293"/>
        <w:gridCol w:w="348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检测项目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检测依据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铜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土壤质量 铜、锌的测定 火焰原子吸收分光光度法 GB/T 17138-1997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铅、镉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土壤质量 铅、镉的测定 石墨炉原子吸收分光光度法GB/T 17141-1997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镍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土壤质量 镍的测定 火焰原子吸收分光光度法 GB/T 17139-1997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汞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土壤质量 总汞、总砷、总铅的测定 原子荧光法 第1部分：土壤中总汞的测定 GB/T 22105.1-2008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砷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土壤质量 总汞、总砷、总铅的测定 原子荧光法 第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部分：土壤中总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砷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的测定 GB/T 22105.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-2008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铬（六价）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固体废物 六价铬的测定 二苯碳酰二肼分光光度法 GB/T 15555.4-1995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氯甲烷*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土壤和沉积物 挥发性有机物的测定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吹扫捕集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/气相色谱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-质谱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法 HJ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605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-201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硝基苯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土壤和沉积物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半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挥发性有机物的测定 气相色谱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-质谱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 xml:space="preserve">法 HJ 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834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-201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苯胺*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危险废物鉴别标准 浸出毒性鉴别GB 5085.3-2007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附录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K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 xml:space="preserve"> 气相色谱法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2-氯酚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土壤和沉积物 酚类化合物的测定 气相色谱法 HJ 703-2014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939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楷体"/>
                <w:kern w:val="2"/>
                <w:sz w:val="24"/>
                <w:szCs w:val="22"/>
                <w:lang w:val="en-US" w:eastAsia="zh-CN" w:bidi="ar"/>
              </w:rPr>
              <w:t>氰化物</w:t>
            </w:r>
          </w:p>
        </w:tc>
        <w:tc>
          <w:tcPr>
            <w:tcW w:w="7776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楷体" w:cs="楷体"/>
                <w:kern w:val="2"/>
                <w:sz w:val="24"/>
                <w:szCs w:val="22"/>
                <w:lang w:val="en-US" w:eastAsia="zh-CN" w:bidi="ar"/>
              </w:rPr>
              <w:t>土壤</w:t>
            </w:r>
            <w:r>
              <w:rPr>
                <w:rFonts w:hint="default" w:ascii="Times New Roman" w:hAnsi="Times New Roman" w:eastAsia="楷体" w:cs="Times New Roman"/>
                <w:kern w:val="2"/>
                <w:sz w:val="24"/>
                <w:szCs w:val="22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楷体" w:cs="楷体"/>
                <w:kern w:val="2"/>
                <w:sz w:val="24"/>
                <w:szCs w:val="22"/>
                <w:lang w:val="en-US" w:eastAsia="zh-CN" w:bidi="ar"/>
              </w:rPr>
              <w:t>氰化物和总氰化物的测定</w:t>
            </w:r>
            <w:r>
              <w:rPr>
                <w:rFonts w:hint="default" w:ascii="Times New Roman" w:hAnsi="Times New Roman" w:eastAsia="楷体" w:cs="Times New Roman"/>
                <w:kern w:val="2"/>
                <w:sz w:val="24"/>
                <w:szCs w:val="22"/>
                <w:lang w:val="en-US" w:eastAsia="zh-CN" w:bidi="ar"/>
              </w:rPr>
              <w:t xml:space="preserve"> </w:t>
            </w:r>
            <w:r>
              <w:rPr>
                <w:rFonts w:hint="eastAsia" w:ascii="Times New Roman" w:hAnsi="Times New Roman" w:eastAsia="楷体" w:cs="楷体"/>
                <w:kern w:val="2"/>
                <w:sz w:val="24"/>
                <w:szCs w:val="22"/>
                <w:lang w:val="en-US" w:eastAsia="zh-CN" w:bidi="ar"/>
              </w:rPr>
              <w:t>分光光度法</w:t>
            </w:r>
            <w:r>
              <w:rPr>
                <w:rFonts w:hint="default" w:ascii="Times New Roman" w:hAnsi="Times New Roman" w:eastAsia="楷体" w:cs="Times New Roman"/>
                <w:kern w:val="2"/>
                <w:sz w:val="24"/>
                <w:szCs w:val="22"/>
                <w:lang w:val="en-US" w:eastAsia="zh-CN" w:bidi="ar"/>
              </w:rPr>
              <w:t xml:space="preserve"> HJ 745-2015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623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四氯化碳、氯仿、1,1-二氯乙烷、1,2-二氯乙烷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+苯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、1,1-二氯乙烯、顺-1,2-二氯乙烯、反-1,2-二氯乙烯、二氯甲烷、1,2-二氯丙烷、1,1,1,2-四氯乙烷、1,1,2,2-四氯乙烷、四氯乙烯、1,1,1-三氯乙烷、1,1,2-三氯乙烷、三氯乙烯、1,2,3-三氯丙烷、氯乙烯、苯、氯苯、1,2-二氯苯、1,4-二氯苯、乙苯、苯乙烯、甲苯、间二甲苯+对二甲苯、邻二甲苯</w:t>
            </w:r>
          </w:p>
        </w:tc>
        <w:tc>
          <w:tcPr>
            <w:tcW w:w="34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土壤和沉积物 挥发性有机物的测定 顶空/气相色谱法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HJ 741-2015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232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苯并[a]蒽、苯并[a]芘、苯并[b]荧蒽、苯并[k]荧蒽、䓛、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二苯并[a,h]蒽、茚并[1,2,3-cd]芘、萘</w:t>
            </w:r>
          </w:p>
        </w:tc>
        <w:tc>
          <w:tcPr>
            <w:tcW w:w="348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</w:rPr>
              <w:t>土壤和沉积物 多环芳烃的测定 高效液相色谱法 HJ 784-2016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  <w:jc w:val="center"/>
        </w:trPr>
        <w:tc>
          <w:tcPr>
            <w:tcW w:w="9715" w:type="dxa"/>
            <w:gridSpan w:val="4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分包说明：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（1）氯甲</w:t>
            </w:r>
            <w:r>
              <w:rPr>
                <w:rFonts w:hint="default" w:ascii="Times New Roman" w:hAnsi="Times New Roman" w:eastAsia="楷体" w:cs="Times New Roman"/>
                <w:color w:val="000000" w:themeColor="text1"/>
                <w:kern w:val="2"/>
                <w:sz w:val="24"/>
                <w:szCs w:val="24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烷*、硝基苯*、苯胺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*为分包项目；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（2）本项目为资质范围外项目；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（3）经委托方书面同意，本公司可将获得的分包数据结果纳入自身的检测报告中；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 w:rightChars="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（4）由杭州普洛赛斯检测科技有限公司分包，资质认定许可编号：171100111484。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  <w:jc w:val="center"/>
        </w:trPr>
        <w:tc>
          <w:tcPr>
            <w:tcW w:w="124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eastAsia="zh-CN"/>
              </w:rPr>
              <w:t>选用</w:t>
            </w: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eastAsia="zh-CN"/>
              </w:rPr>
              <w:t>评价</w:t>
            </w: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4"/>
                <w:szCs w:val="24"/>
                <w:lang w:eastAsia="zh-CN"/>
              </w:rPr>
              <w:t>标准</w:t>
            </w:r>
          </w:p>
        </w:tc>
        <w:tc>
          <w:tcPr>
            <w:tcW w:w="8467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leftChars="0" w:right="0" w:rightChars="0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eastAsia="zh-CN"/>
              </w:rPr>
              <w:t>土壤环境质量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 xml:space="preserve"> 建设用地土壤污染风险管控标准 GB 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6600-2018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第二类用地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lang w:val="en-US" w:eastAsia="zh-CN"/>
              </w:rPr>
              <w:t>）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  <w:t>监测点位、监测项目及频次</w:t>
      </w:r>
    </w:p>
    <w:tbl>
      <w:tblPr>
        <w:tblStyle w:val="7"/>
        <w:tblW w:w="9704" w:type="dxa"/>
        <w:jc w:val="center"/>
        <w:tblInd w:w="-597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0"/>
        <w:gridCol w:w="846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监测点位</w:t>
            </w:r>
          </w:p>
        </w:tc>
        <w:tc>
          <w:tcPr>
            <w:tcW w:w="8464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20" w:firstLineChars="20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根据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《土壤环境监测技术规范》（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HJ/T 166-2004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）、《场地环境监测技术导则》（HJ 25.2-2014 ）、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《建设用地土壤环境调查评估技术指南》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和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在产企业土壤及地下水自行监测技术指南（征求意见稿）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相关要求，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场地土壤监测点位初步设置：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全断面监测点位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个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每个监测点位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个土壤样品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210" w:firstLineChars="10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）第一层土壤样品采集位置：约地面以下150~350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cm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的填土；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449" w:leftChars="114" w:right="0" w:hanging="210" w:hangingChars="100"/>
              <w:jc w:val="both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）第二层土壤样品采集位置：约地面以下200~450c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m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的填土；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exact"/>
              <w:ind w:left="0" w:right="0" w:firstLine="210" w:firstLineChars="100"/>
              <w:jc w:val="both"/>
              <w:textAlignment w:val="auto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（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）第三层土壤样品采集位置：约地面以下450~660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cm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1"/>
                <w:szCs w:val="21"/>
                <w:lang w:val="en-US" w:eastAsia="zh-CN" w:bidi="ar"/>
              </w:rPr>
              <w:t>的填土。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监测项目</w:t>
            </w:r>
          </w:p>
        </w:tc>
        <w:tc>
          <w:tcPr>
            <w:tcW w:w="8464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(1)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、重金属和无机物（7个）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：砷、镉、铬（六价）、铜、铅、汞、镍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 xml:space="preserve">         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240" w:right="0" w:hanging="210" w:hangingChars="10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(2)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、挥发性有机物（27个）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：四氯化碳、氯仿、氯甲烷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>*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、1,1-二氯乙烷、1,2-二氯乙烷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>+苯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、1,1-二氯乙烯、顺-1,2-二氯乙烯、反-1,2-二氯乙烯、二氯甲烷、1,2-二氯丙烷、1,1,1,2-四氯乙烷、1,1,2,2-四氯乙烷、四氯乙烯、1,1,1-三氯乙烷、1,1,2-三氯乙烷、三氯乙烯、1,2,3-三氯丙烷、氯乙烯、苯、氯苯、1,2-二氯苯、1,4-二氯苯、乙苯、苯乙烯、甲苯、间二甲苯+对二甲苯、邻二甲苯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 xml:space="preserve">                                  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240" w:right="0" w:hanging="210" w:hangingChars="100"/>
              <w:jc w:val="both"/>
              <w:textAlignment w:val="auto"/>
              <w:outlineLvl w:val="9"/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/>
              </w:rPr>
              <w:t>(3)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、半挥发性有机物（11个）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：硝基苯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>*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、苯胺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>*</w:t>
            </w: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u w:val="single"/>
                <w:lang w:eastAsia="zh-CN"/>
              </w:rPr>
              <w:t>、2-氯酚、苯并[a]蒽、苯并[a]芘、苯并[b]荧蒽、苯并[k]荧蒽、䓛、二苯并[a,h]蒽、茚并[1,2,3-cd]芘、萘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 xml:space="preserve">                       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none"/>
                <w:lang w:val="en-US" w:eastAsia="zh-CN"/>
              </w:rPr>
              <w:t>（4）、其他因子（1个）</w:t>
            </w:r>
            <w:r>
              <w:rPr>
                <w:rFonts w:hint="eastAsia" w:ascii="Times New Roman" w:hAnsi="Times New Roman" w:eastAsia="楷体" w:cs="Times New Roman"/>
                <w:color w:val="auto"/>
                <w:sz w:val="21"/>
                <w:szCs w:val="21"/>
                <w:u w:val="single"/>
                <w:lang w:val="en-US" w:eastAsia="zh-CN"/>
              </w:rPr>
              <w:t xml:space="preserve">：氰化物          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监测频次</w:t>
            </w:r>
          </w:p>
        </w:tc>
        <w:tc>
          <w:tcPr>
            <w:tcW w:w="8464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eastAsia="zh-CN"/>
              </w:rPr>
              <w:t>一次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  <w:t>监测点位名称及样品性状</w:t>
      </w:r>
    </w:p>
    <w:tbl>
      <w:tblPr>
        <w:tblStyle w:val="7"/>
        <w:tblW w:w="9928" w:type="dxa"/>
        <w:jc w:val="center"/>
        <w:tblInd w:w="-79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8"/>
        <w:gridCol w:w="4072"/>
        <w:gridCol w:w="728"/>
        <w:gridCol w:w="1176"/>
        <w:gridCol w:w="1176"/>
        <w:gridCol w:w="117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点位名称</w:t>
            </w:r>
          </w:p>
        </w:tc>
        <w:tc>
          <w:tcPr>
            <w:tcW w:w="4072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经纬度</w:t>
            </w:r>
          </w:p>
        </w:tc>
        <w:tc>
          <w:tcPr>
            <w:tcW w:w="72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点位编号</w:t>
            </w:r>
          </w:p>
        </w:tc>
        <w:tc>
          <w:tcPr>
            <w:tcW w:w="3530" w:type="dxa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样品外观：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柱状样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；颜色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" w:hRule="atLeast"/>
          <w:jc w:val="center"/>
        </w:trPr>
        <w:tc>
          <w:tcPr>
            <w:tcW w:w="159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072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72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第一层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第二层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  <w:t>第三层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综合仓库边</w:t>
            </w:r>
          </w:p>
        </w:tc>
        <w:tc>
          <w:tcPr>
            <w:tcW w:w="40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both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北纬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43.75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08.90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</w:t>
            </w:r>
          </w:p>
        </w:tc>
        <w:tc>
          <w:tcPr>
            <w:tcW w:w="72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1#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1-1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1-2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1-3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4车间边</w:t>
            </w:r>
          </w:p>
        </w:tc>
        <w:tc>
          <w:tcPr>
            <w:tcW w:w="40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北纬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50.64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11.81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</w:t>
            </w:r>
          </w:p>
        </w:tc>
        <w:tc>
          <w:tcPr>
            <w:tcW w:w="72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2#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-1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-2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-3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储罐区</w:t>
            </w:r>
          </w:p>
        </w:tc>
        <w:tc>
          <w:tcPr>
            <w:tcW w:w="40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北纬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50.39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07.54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</w:t>
            </w:r>
          </w:p>
        </w:tc>
        <w:tc>
          <w:tcPr>
            <w:tcW w:w="72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3#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3-1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(浅棕)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3-2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(浅棕)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3-3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(浅棕)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污水处理站</w:t>
            </w:r>
          </w:p>
        </w:tc>
        <w:tc>
          <w:tcPr>
            <w:tcW w:w="40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北纬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50.27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03.22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</w:t>
            </w:r>
          </w:p>
        </w:tc>
        <w:tc>
          <w:tcPr>
            <w:tcW w:w="72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4#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4-1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4-2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4-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3(灰)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13车间边</w:t>
            </w:r>
          </w:p>
        </w:tc>
        <w:tc>
          <w:tcPr>
            <w:tcW w:w="40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北纬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54.86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05.54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</w:t>
            </w:r>
          </w:p>
        </w:tc>
        <w:tc>
          <w:tcPr>
            <w:tcW w:w="72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5#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5-1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5-2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5-3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生活区后面</w:t>
            </w:r>
          </w:p>
        </w:tc>
        <w:tc>
          <w:tcPr>
            <w:tcW w:w="40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北纬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28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41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58.47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″、东经12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°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33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′</w:t>
            </w:r>
            <w:r>
              <w:rPr>
                <w:rFonts w:hint="eastAsia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07.77</w:t>
            </w:r>
            <w:r>
              <w:rPr>
                <w:rFonts w:hint="default" w:ascii="Times New Roman" w:hAnsi="Times New Roman" w:eastAsia="楷体" w:cs="Times New Roman"/>
                <w:color w:val="auto"/>
                <w:kern w:val="2"/>
                <w:sz w:val="24"/>
                <w:szCs w:val="24"/>
                <w:lang w:val="en-US" w:eastAsia="zh-CN" w:bidi="ar"/>
              </w:rPr>
              <w:t>″</w:t>
            </w:r>
          </w:p>
        </w:tc>
        <w:tc>
          <w:tcPr>
            <w:tcW w:w="72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6#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6-1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6-2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  <w:tc>
          <w:tcPr>
            <w:tcW w:w="117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6-3</w:t>
            </w: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(灰)</w:t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outlineLvl w:val="9"/>
        <w:rPr>
          <w:rFonts w:hint="eastAsia" w:ascii="楷体" w:hAnsi="楷体" w:eastAsia="楷体" w:cs="楷体"/>
          <w:color w:val="auto"/>
          <w:sz w:val="24"/>
          <w:szCs w:val="32"/>
          <w:lang w:eastAsia="zh-CN"/>
        </w:rPr>
      </w:pPr>
      <w:r>
        <w:rPr>
          <w:rFonts w:hint="eastAsia" w:ascii="楷体" w:hAnsi="楷体" w:eastAsia="楷体" w:cs="楷体"/>
          <w:color w:val="auto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290830</wp:posOffset>
                </wp:positionV>
                <wp:extent cx="6362065" cy="6758305"/>
                <wp:effectExtent l="9525" t="9525" r="10160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2300" y="4121785"/>
                          <a:ext cx="6362065" cy="67583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6273800" cy="6706235"/>
                                  <wp:effectExtent l="0" t="0" r="12700" b="18415"/>
                                  <wp:docPr id="11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3800" cy="6706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both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65pt;margin-top:22.9pt;height:532.15pt;width:500.95pt;z-index:251722752;v-text-anchor:middle;mso-width-relative:page;mso-height-relative:page;" filled="f" stroked="t" coordsize="21600,21600" o:gfxdata="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UMBLiNsAAAALAQAADwAAAAAAAAABACAAAAAiAAAAZHJzL2Rvd25yZXYueG1sUEsBAhQA&#10;FAAAAAgAh07iQD3D8edhAgAAlAQAAA4AAAAAAAAAAQAgAAAAKgEAAGRycy9lMm9Eb2MueG1sUEsF&#10;BgAAAAAGAAYAWQEAAP0FAAAAAA==&#10;">
                <v:fill on="f" focussize="0,0"/>
                <v:stroke weight="1.5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kern w:val="0"/>
                          <w:sz w:val="24"/>
                          <w:szCs w:val="24"/>
                          <w:lang w:val="en-US" w:eastAsia="zh-CN" w:bidi="ar"/>
                        </w:rPr>
                        <w:drawing>
                          <wp:inline distT="0" distB="0" distL="114300" distR="114300">
                            <wp:extent cx="6273800" cy="6706235"/>
                            <wp:effectExtent l="0" t="0" r="12700" b="18415"/>
                            <wp:docPr id="11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3800" cy="6706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both"/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24"/>
          <w:szCs w:val="32"/>
          <w:lang w:eastAsia="zh-CN"/>
        </w:rPr>
        <w:t>监测点位示意图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outlineLvl w:val="9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20" w:lineRule="exact"/>
        <w:jc w:val="both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</w:pPr>
      <w:r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  <w:t>污染物项目风险筛选值和管制值（</w:t>
      </w:r>
      <w:r>
        <w:rPr>
          <w:rFonts w:hint="default" w:ascii="Times New Roman" w:hAnsi="Times New Roman" w:eastAsia="楷体" w:cs="Times New Roman"/>
          <w:color w:val="auto"/>
          <w:sz w:val="24"/>
          <w:lang w:val="en-US" w:eastAsia="zh-CN"/>
        </w:rPr>
        <w:t>GB 36600-2018</w:t>
      </w:r>
      <w:r>
        <w:rPr>
          <w:rFonts w:hint="eastAsia" w:ascii="Times New Roman" w:hAnsi="Times New Roman" w:eastAsia="楷体" w:cs="Times New Roman"/>
          <w:color w:val="auto"/>
          <w:sz w:val="24"/>
          <w:szCs w:val="24"/>
          <w:lang w:eastAsia="zh-CN"/>
        </w:rPr>
        <w:t>）</w:t>
      </w:r>
    </w:p>
    <w:tbl>
      <w:tblPr>
        <w:tblStyle w:val="6"/>
        <w:tblW w:w="9785" w:type="dxa"/>
        <w:jc w:val="center"/>
        <w:tblInd w:w="-69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08"/>
        <w:gridCol w:w="2446"/>
        <w:gridCol w:w="1870"/>
        <w:gridCol w:w="2180"/>
        <w:gridCol w:w="218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5" w:hRule="atLeast"/>
          <w:jc w:val="center"/>
        </w:trPr>
        <w:tc>
          <w:tcPr>
            <w:tcW w:w="110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2446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污染物项目</w:t>
            </w:r>
          </w:p>
        </w:tc>
        <w:tc>
          <w:tcPr>
            <w:tcW w:w="187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CAS编号</w:t>
            </w:r>
          </w:p>
        </w:tc>
        <w:tc>
          <w:tcPr>
            <w:tcW w:w="4361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第二类用地（单位：mg/kg）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446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87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筛选值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管制值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978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both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重金属和无机物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7440-38-2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镉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7440-43-9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铬（六价）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18540-29-9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5.7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铜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7440-50-8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18000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铅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7439-92-1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汞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7439-97-6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镍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7440-02-0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978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both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挥发性有机物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四氯化碳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56-23-5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2.8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氯仿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67-66-3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0.9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氯甲烷</w:t>
            </w: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*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74-87-3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1,1-二氯乙烷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75-34-3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1,2-二氯乙烷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107-06-2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1,1-二氯乙烯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75-35-4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顺-1,2-二氯乙烯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156-59-2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596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反-1,2-二氯乙烯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156-60-5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二氯甲烷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75-09-2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616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1,2-二氯丙烷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78-87-5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1,1,1,2-四氯乙烷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630-20-6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1,1,2,2-四氯乙烷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79-34-5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6.8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127-18-4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1,1,1-三氯乙烷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71-55-6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840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1,1,2-三氯乙烷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79-00-5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2.8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79-01-6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2.8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1,2,3-三氯丙烷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76-18-4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75-01-4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0.43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 w:firstLine="1050" w:firstLineChars="500"/>
              <w:jc w:val="both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71-43-2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108-90-7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1,2-二氯苯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95-50-1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1,4-二氯苯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106-46-7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乙苯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100-41-4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苯乙烯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100-42-5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1290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1290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甲苯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100-88-3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间</w:t>
            </w: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二甲苯</w:t>
            </w: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+对二甲苯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108-38-3/106-42-3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570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邻二甲苯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95-47-6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978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both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半挥发性有机物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硝基苯</w:t>
            </w: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*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98-95-3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苯胺</w:t>
            </w: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*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62-53-3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663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2-氯酚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95-57-8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2256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苯并[a]蒽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56-55-3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苯并[a]芘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50-32-8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苯并[b]荧蒽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205-99-2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苯并[k]荧蒽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207-08-9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䓛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218-01-9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1293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12900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二苯并[a,h]蒽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53-70-3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茚并[1,2,3-cd]芘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193-39-5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萘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91-20-3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10" w:hRule="atLeast"/>
          <w:jc w:val="center"/>
        </w:trPr>
        <w:tc>
          <w:tcPr>
            <w:tcW w:w="9785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both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其他因子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7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</w:t>
            </w:r>
          </w:p>
        </w:tc>
        <w:tc>
          <w:tcPr>
            <w:tcW w:w="244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氰化物</w:t>
            </w:r>
          </w:p>
        </w:tc>
        <w:tc>
          <w:tcPr>
            <w:tcW w:w="18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57-12-5</w:t>
            </w:r>
          </w:p>
        </w:tc>
        <w:tc>
          <w:tcPr>
            <w:tcW w:w="21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135</w:t>
            </w:r>
          </w:p>
        </w:tc>
        <w:tc>
          <w:tcPr>
            <w:tcW w:w="21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30" w:lineRule="exact"/>
              <w:ind w:left="0" w:right="0"/>
              <w:jc w:val="center"/>
              <w:textAlignment w:val="auto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270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line="320" w:lineRule="exact"/>
        <w:jc w:val="center"/>
        <w:textAlignment w:val="auto"/>
        <w:outlineLvl w:val="9"/>
        <w:rPr>
          <w:rFonts w:hint="default" w:ascii="Times New Roman" w:hAnsi="Times New Roman" w:eastAsia="楷体" w:cs="Times New Roman"/>
          <w:b/>
          <w:color w:val="auto"/>
          <w:sz w:val="24"/>
          <w:u w:val="single"/>
          <w:lang w:val="en-US" w:eastAsia="zh-CN"/>
        </w:rPr>
      </w:pPr>
      <w:r>
        <w:rPr>
          <w:rFonts w:hint="eastAsia" w:ascii="Times New Roman" w:hAnsi="Times New Roman" w:eastAsia="楷体" w:cs="Times New Roman"/>
          <w:color w:val="auto"/>
          <w:sz w:val="32"/>
          <w:szCs w:val="32"/>
        </w:rPr>
        <w:t>检测结果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lang w:val="en-US" w:eastAsia="zh-CN"/>
        </w:rPr>
        <w:t>-1</w:t>
      </w:r>
    </w:p>
    <w:tbl>
      <w:tblPr>
        <w:tblStyle w:val="6"/>
        <w:tblW w:w="9828" w:type="dxa"/>
        <w:jc w:val="center"/>
        <w:tblInd w:w="-70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61"/>
        <w:gridCol w:w="1548"/>
        <w:gridCol w:w="160"/>
        <w:gridCol w:w="675"/>
        <w:gridCol w:w="142"/>
        <w:gridCol w:w="693"/>
        <w:gridCol w:w="124"/>
        <w:gridCol w:w="711"/>
        <w:gridCol w:w="1"/>
        <w:gridCol w:w="105"/>
        <w:gridCol w:w="729"/>
        <w:gridCol w:w="88"/>
        <w:gridCol w:w="747"/>
        <w:gridCol w:w="70"/>
        <w:gridCol w:w="765"/>
        <w:gridCol w:w="2"/>
        <w:gridCol w:w="50"/>
        <w:gridCol w:w="783"/>
        <w:gridCol w:w="34"/>
        <w:gridCol w:w="801"/>
        <w:gridCol w:w="16"/>
        <w:gridCol w:w="82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  <w:t>序号</w:t>
            </w:r>
          </w:p>
        </w:tc>
        <w:tc>
          <w:tcPr>
            <w:tcW w:w="154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right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1270</wp:posOffset>
                      </wp:positionV>
                      <wp:extent cx="1080135" cy="399415"/>
                      <wp:effectExtent l="1905" t="4445" r="3810" b="15240"/>
                      <wp:wrapNone/>
                      <wp:docPr id="6" name="直接连接符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717550" y="953135"/>
                                <a:ext cx="1080135" cy="3994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0.4pt;margin-top:0.1pt;height:31.45pt;width:85.05pt;z-index:251723776;mso-width-relative:page;mso-height-relative:page;" filled="f" stroked="t" coordsize="21600,21600" o:gfxdata="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eaJ9tIAAAAEAQAADwAAAAAAAAABACAAAAAi&#10;AAAAZHJzL2Rvd25yZXYueG1sUEsBAhQAFAAAAAgAh07iQFIlpXzXAQAAcgMAAA4AAAAAAAAAAQAg&#10;AAAAIQEAAGRycy9lMm9Eb2MueG1sUEsFBgAAAAAGAAYAWQEAAGoFAAAAAA=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监测点位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left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  <w:t>污染物项目</w:t>
            </w:r>
          </w:p>
        </w:tc>
        <w:tc>
          <w:tcPr>
            <w:tcW w:w="2506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综合仓库边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1#</w:t>
            </w:r>
          </w:p>
        </w:tc>
        <w:tc>
          <w:tcPr>
            <w:tcW w:w="2506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4车间边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2#</w:t>
            </w:r>
          </w:p>
        </w:tc>
        <w:tc>
          <w:tcPr>
            <w:tcW w:w="2507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储罐区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3#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54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第一层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第二层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第三层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第一层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第二层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第三层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第一层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第二层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第三层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0" w:hRule="atLeast"/>
          <w:jc w:val="center"/>
        </w:trPr>
        <w:tc>
          <w:tcPr>
            <w:tcW w:w="9828" w:type="dxa"/>
            <w:gridSpan w:val="2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both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重金属和无机物（7个）</w:t>
            </w:r>
            <w:r>
              <w:rPr>
                <w:rStyle w:val="11"/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lang w:val="en-US" w:eastAsia="zh-CN" w:bidi="ar"/>
              </w:rPr>
              <w:t>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3.78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3.60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3.94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3.35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3.64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3.86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镉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0.18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top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铬（六价）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铜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铅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28.3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17.7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16.6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30.4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汞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0.634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1.40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0.603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0.820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0.587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镍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3" w:hRule="atLeast"/>
          <w:jc w:val="center"/>
        </w:trPr>
        <w:tc>
          <w:tcPr>
            <w:tcW w:w="9828" w:type="dxa"/>
            <w:gridSpan w:val="2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both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lang w:val="en-US" w:eastAsia="zh-CN" w:bidi="ar"/>
              </w:rPr>
              <w:t>挥发性有机物（27个）单位：mg/Kg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四氯化碳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氯仿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FF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氯甲烷*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顺-1,2-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反-1,2-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二氯甲烷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四氯乙烷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19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1,1,2,2-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四氯乙烷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21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1,1,1-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三氯乙烷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22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三氯乙烷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24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1,2,3-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三氯丙烷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7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28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FF0000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29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1,4-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FF0000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乙苯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FF0000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苯乙烯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FF0000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8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甲苯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FF0000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33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间二甲苯+对二甲苯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邻二甲苯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3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  <w:jc w:val="center"/>
        </w:trPr>
        <w:tc>
          <w:tcPr>
            <w:tcW w:w="9828" w:type="dxa"/>
            <w:gridSpan w:val="2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right="0"/>
              <w:jc w:val="both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lang w:val="en-US" w:eastAsia="zh-CN" w:bidi="ar"/>
              </w:rPr>
              <w:t>半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挥发性有机物（11个）单位：mg/Kg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6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硝基苯*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5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苯胺*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2-氯酚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0.07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[a]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蒽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7.84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6.69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6.90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[a]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芘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8.59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[b]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荧蒽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0.107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0.149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8.20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[k]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荧蒽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8.12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6.57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2.09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6.47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䓛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1.67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5.50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[a,h]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蒽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0.127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0.107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6.13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8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茚并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[1,2,3-cd]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芘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9.08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8.36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5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5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萘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6.80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9.60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4.20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0" w:hRule="atLeast"/>
          <w:jc w:val="center"/>
        </w:trPr>
        <w:tc>
          <w:tcPr>
            <w:tcW w:w="9828" w:type="dxa"/>
            <w:gridSpan w:val="2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其他因子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（1个）单位：m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5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氰化物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jc w:val="center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20" w:lineRule="exact"/>
        <w:jc w:val="center"/>
        <w:textAlignment w:val="auto"/>
        <w:outlineLvl w:val="9"/>
        <w:rPr>
          <w:rFonts w:hint="eastAsia" w:ascii="Times New Roman" w:hAnsi="Times New Roman" w:eastAsia="楷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 w:cs="Times New Roman"/>
          <w:color w:val="auto"/>
          <w:sz w:val="32"/>
          <w:szCs w:val="32"/>
        </w:rPr>
        <w:t>检测结果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lang w:val="en-US" w:eastAsia="zh-CN"/>
        </w:rPr>
        <w:t>-2</w:t>
      </w:r>
    </w:p>
    <w:tbl>
      <w:tblPr>
        <w:tblStyle w:val="6"/>
        <w:tblW w:w="9828" w:type="dxa"/>
        <w:jc w:val="center"/>
        <w:tblInd w:w="-70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61"/>
        <w:gridCol w:w="1560"/>
        <w:gridCol w:w="148"/>
        <w:gridCol w:w="686"/>
        <w:gridCol w:w="131"/>
        <w:gridCol w:w="703"/>
        <w:gridCol w:w="114"/>
        <w:gridCol w:w="720"/>
        <w:gridCol w:w="97"/>
        <w:gridCol w:w="737"/>
        <w:gridCol w:w="80"/>
        <w:gridCol w:w="754"/>
        <w:gridCol w:w="63"/>
        <w:gridCol w:w="771"/>
        <w:gridCol w:w="46"/>
        <w:gridCol w:w="788"/>
        <w:gridCol w:w="29"/>
        <w:gridCol w:w="805"/>
        <w:gridCol w:w="12"/>
        <w:gridCol w:w="82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  <w:t>序号</w:t>
            </w:r>
          </w:p>
        </w:tc>
        <w:tc>
          <w:tcPr>
            <w:tcW w:w="1560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right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230992896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1270</wp:posOffset>
                      </wp:positionV>
                      <wp:extent cx="1080135" cy="399415"/>
                      <wp:effectExtent l="1905" t="4445" r="3810" b="15240"/>
                      <wp:wrapNone/>
                      <wp:docPr id="33" name="直接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717550" y="953135"/>
                                <a:ext cx="1080135" cy="3994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0.4pt;margin-top:0.1pt;height:31.45pt;width:85.05pt;z-index:-2063974400;mso-width-relative:page;mso-height-relative:page;" filled="f" stroked="t" coordsize="21600,21600" o:gfxdata="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N3mifbSAAAABAEAAA8AAAAAAAAAAQAgAAAA&#10;IgAAAGRycy9kb3ducmV2LnhtbFBLAQIUABQAAAAIAIdO4kAEMbBM2AEAAHQDAAAOAAAAAAAAAAEA&#10;IAAAACEBAABkcnMvZTJvRG9jLnhtbFBLBQYAAAAABgAGAFkBAABrBQAAAAA=&#10;">
                      <v:fill on="f" focussize="0,0"/>
                      <v:stroke weight="0.5pt" color="#000000 [3213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监测点位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left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eastAsia="zh-CN"/>
              </w:rPr>
              <w:t>污染物项目</w:t>
            </w:r>
          </w:p>
        </w:tc>
        <w:tc>
          <w:tcPr>
            <w:tcW w:w="250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污水处理站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#</w:t>
            </w:r>
          </w:p>
        </w:tc>
        <w:tc>
          <w:tcPr>
            <w:tcW w:w="2502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13车间边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#</w:t>
            </w:r>
          </w:p>
        </w:tc>
        <w:tc>
          <w:tcPr>
            <w:tcW w:w="2503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生活区后面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第一层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第二层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第三层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第一层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第二层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第三层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第一层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第二层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vertAlign w:val="baseline"/>
                <w:lang w:eastAsia="zh-CN"/>
              </w:rPr>
              <w:t>第三层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828" w:type="dxa"/>
            <w:gridSpan w:val="20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both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重金属和无机物（7个）</w:t>
            </w:r>
            <w:r>
              <w:rPr>
                <w:rStyle w:val="11"/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lang w:val="en-US" w:eastAsia="zh-CN" w:bidi="ar"/>
              </w:rPr>
              <w:t>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3.22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2.84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3.15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2.94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2.33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镉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FF0000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铬（六价）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铜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铅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23.6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38.9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37.1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29.7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20.6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62.4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33.9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8.2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32.5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汞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0.427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2.71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0.551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0.942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0.930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0.335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90" w:lineRule="exact"/>
              <w:ind w:left="0" w:right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镍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828" w:type="dxa"/>
            <w:gridSpan w:val="20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right="0"/>
              <w:jc w:val="both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b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挥发性有机物（27个）单位：mg/Kg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四氯化碳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氯仿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氯甲烷*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顺-1,2-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反-1,2-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二氯甲烷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1"/>
                <w:rFonts w:hint="eastAsia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四氯乙烷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1,1,2,2-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四氯乙烷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1,1,1-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三氯乙烷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三氯乙烷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1,2,3-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三氯丙烷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氯苯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1,2-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1,4-</w:t>
            </w: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二氯苯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08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乙苯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苯乙烯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甲苯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eastAsia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default" w:ascii="Times New Roman" w:hAnsi="Times New Roman" w:eastAsia="楷体" w:cs="Times New Roman"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4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间二甲苯+对二甲苯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邻二甲苯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0" w:hRule="atLeast"/>
          <w:jc w:val="center"/>
        </w:trPr>
        <w:tc>
          <w:tcPr>
            <w:tcW w:w="9828" w:type="dxa"/>
            <w:gridSpan w:val="20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10" w:lineRule="exact"/>
              <w:ind w:left="0" w:right="0"/>
              <w:jc w:val="both"/>
              <w:textAlignment w:val="top"/>
              <w:outlineLvl w:val="9"/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b/>
                <w:bCs/>
                <w:color w:val="auto"/>
                <w:sz w:val="21"/>
                <w:szCs w:val="21"/>
                <w:lang w:val="en-US" w:eastAsia="zh-CN" w:bidi="ar"/>
              </w:rPr>
              <w:t>半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挥发性有机物（11个）单位：mg/Kg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硝基苯*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苯胺*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˂0.001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2-氯酚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0.06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＜0.04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[a]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蒽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7.16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7.68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FF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[a]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芘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1.14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8.55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8.75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7.24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[b]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荧蒽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9.45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0.16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0.127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7.37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[k]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荧蒽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˂5.00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8.46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4.12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䓛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7.98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4.95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9.58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0.132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5.90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8.80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2.28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43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二苯并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[a,h]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蒽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0.145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0.257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0.343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5.41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7.40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3.69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3.14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5.40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茚并</w:t>
            </w:r>
            <w:r>
              <w:rPr>
                <w:rStyle w:val="11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[1,2,3-cd]</w:t>
            </w:r>
            <w:r>
              <w:rPr>
                <w:rStyle w:val="12"/>
                <w:rFonts w:hint="default" w:ascii="Times New Roman" w:hAnsi="Times New Roman" w:eastAsia="楷体" w:cs="Times New Roman"/>
                <w:color w:val="auto"/>
                <w:sz w:val="21"/>
                <w:szCs w:val="21"/>
                <w:lang w:val="en-US" w:eastAsia="zh-CN" w:bidi="ar"/>
              </w:rPr>
              <w:t>芘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9.60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0.113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7.75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4.42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4.87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9.17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8.06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7.96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萘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1.41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7.30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1.03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-2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1.08</w:t>
            </w:r>
          </w:p>
        </w:tc>
        <w:tc>
          <w:tcPr>
            <w:tcW w:w="8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1.0</w:t>
            </w: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˂3.00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right="0"/>
              <w:jc w:val="center"/>
              <w:textAlignment w:val="center"/>
              <w:rPr>
                <w:rFonts w:hint="default" w:ascii="Times New Roman" w:hAnsi="Times New Roman" w:eastAsia="楷体" w:cs="Times New Roman"/>
                <w:i w:val="0"/>
                <w:color w:val="0000FF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×10</w:t>
            </w: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2"/>
                <w:szCs w:val="22"/>
                <w:u w:val="none"/>
                <w:vertAlign w:val="superscript"/>
                <w:lang w:val="en-US" w:eastAsia="zh-CN" w:bidi="ar"/>
              </w:rPr>
              <w:t>-3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9828" w:type="dxa"/>
            <w:gridSpan w:val="20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80" w:lineRule="exact"/>
              <w:ind w:left="0" w:leftChars="0" w:right="0" w:rightChars="0"/>
              <w:jc w:val="both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其他因子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（1个）单位：m</w:t>
            </w:r>
            <w:r>
              <w:rPr>
                <w:rFonts w:hint="default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  <w:r>
              <w:rPr>
                <w:rFonts w:hint="eastAsia" w:ascii="Times New Roman" w:hAnsi="Times New Roman" w:eastAsia="楷体" w:cs="Times New Roman"/>
                <w:b/>
                <w:bCs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/Kg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49" w:hRule="atLeast"/>
          <w:jc w:val="center"/>
        </w:trPr>
        <w:tc>
          <w:tcPr>
            <w:tcW w:w="76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70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top"/>
              <w:outlineLvl w:val="9"/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氰化物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17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  <w:tc>
          <w:tcPr>
            <w:tcW w:w="8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&lt;</w:t>
            </w:r>
            <w:r>
              <w:rPr>
                <w:rFonts w:hint="eastAsia" w:ascii="Times New Roman" w:hAnsi="Times New Roman" w:eastAsia="楷体" w:cs="Times New Roman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</w:t>
            </w: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20" w:lineRule="exact"/>
        <w:ind w:left="-420" w:leftChars="-200" w:right="0"/>
        <w:jc w:val="both"/>
        <w:textAlignment w:val="auto"/>
        <w:rPr>
          <w:rFonts w:hint="eastAsia" w:ascii="Times New Roman" w:hAnsi="Times New Roman" w:eastAsia="楷体" w:cs="Times New Roman"/>
          <w:bCs/>
          <w:kern w:val="2"/>
          <w:sz w:val="24"/>
          <w:szCs w:val="24"/>
          <w:lang w:val="en-US" w:eastAsia="zh-CN" w:bidi="ar"/>
        </w:rPr>
        <w:sectPr>
          <w:headerReference r:id="rId3" w:type="default"/>
          <w:pgSz w:w="11906" w:h="16838"/>
          <w:pgMar w:top="1134" w:right="1361" w:bottom="113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spacing w:line="360" w:lineRule="auto"/>
        <w:rPr>
          <w:rFonts w:ascii="楷体" w:hAnsi="楷体" w:eastAsia="楷体" w:cs="楷体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1、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质量保证及质量控制</w:t>
      </w:r>
    </w:p>
    <w:p>
      <w:pPr>
        <w:spacing w:line="360" w:lineRule="auto"/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b/>
          <w:bCs/>
          <w:sz w:val="24"/>
        </w:rPr>
        <w:t xml:space="preserve"> 本次土壤的分析方法及检测仪器见下表</w:t>
      </w:r>
    </w:p>
    <w:p>
      <w:pPr>
        <w:spacing w:line="360" w:lineRule="auto"/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b/>
          <w:bCs/>
          <w:sz w:val="24"/>
        </w:rPr>
        <w:t xml:space="preserve">  土壤分析方法及使用仪器一览表</w:t>
      </w:r>
    </w:p>
    <w:tbl>
      <w:tblPr>
        <w:tblStyle w:val="7"/>
        <w:tblW w:w="9116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9"/>
        <w:gridCol w:w="2386"/>
        <w:gridCol w:w="2005"/>
        <w:gridCol w:w="234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检测项目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检测标准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检测方法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仪器设备及编号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土壤水分和干物质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HJ613-2011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烘干重量法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电子天平 ZA-11-01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2-氯酚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HJ703-2014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气相色谱法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 xml:space="preserve">Agilent7890B ZA-02-01 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VOC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HJ741-2015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顶空气相色谱法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Agilent7697A/7890B ZD-15-01/ZA-02-02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VOCs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HJ784-2016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高效液相色谱法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Agilent1260 ZA-03-01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23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镉、铅</w:t>
            </w:r>
          </w:p>
        </w:tc>
        <w:tc>
          <w:tcPr>
            <w:tcW w:w="23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 xml:space="preserve">HJ/T </w:t>
            </w: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17141-1997</w:t>
            </w:r>
          </w:p>
        </w:tc>
        <w:tc>
          <w:tcPr>
            <w:tcW w:w="200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石墨炉原子吸收分光光度法</w:t>
            </w:r>
          </w:p>
        </w:tc>
        <w:tc>
          <w:tcPr>
            <w:tcW w:w="2346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color w:val="FF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Optima8300</w:t>
            </w:r>
            <w:r>
              <w:rPr>
                <w:rFonts w:hint="eastAsia" w:ascii="Times New Roman" w:hAnsi="Times New Roman"/>
                <w:color w:val="auto"/>
                <w:szCs w:val="21"/>
              </w:rPr>
              <w:t>ZA-04-01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铜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GB/T 17138-1997</w:t>
            </w:r>
          </w:p>
        </w:tc>
        <w:tc>
          <w:tcPr>
            <w:tcW w:w="200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火焰原子吸收分光光度法</w:t>
            </w:r>
          </w:p>
        </w:tc>
        <w:tc>
          <w:tcPr>
            <w:tcW w:w="2346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79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镍</w:t>
            </w:r>
          </w:p>
        </w:tc>
        <w:tc>
          <w:tcPr>
            <w:tcW w:w="238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default" w:ascii="Times New Roman" w:hAnsi="Times New Roman" w:eastAsia="楷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GB/T 17139-1997</w:t>
            </w:r>
          </w:p>
        </w:tc>
        <w:tc>
          <w:tcPr>
            <w:tcW w:w="200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FF0000"/>
                <w:szCs w:val="21"/>
                <w:lang w:eastAsia="zh-CN"/>
              </w:rPr>
            </w:pPr>
          </w:p>
        </w:tc>
        <w:tc>
          <w:tcPr>
            <w:tcW w:w="2346" w:type="dxa"/>
            <w:vMerge w:val="continue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ascii="Times New Roman" w:hAnsi="Times New Roman" w:eastAsia="楷体" w:cs="Times New Roman"/>
                <w:color w:val="FF0000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汞、砷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楷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HJ 680-2013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原子荧光法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spacing w:line="360" w:lineRule="auto"/>
              <w:ind w:firstLine="210" w:firstLineChars="100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/>
                <w:color w:val="auto"/>
                <w:szCs w:val="21"/>
              </w:rPr>
              <w:t>PF53ZA-05-01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eastAsia="zh-CN"/>
              </w:rPr>
              <w:t>铬（六价）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GB/T 15555.4-1995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</w:rPr>
              <w:t>分光光度法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rFonts w:ascii="Times New Roman" w:hAnsi="Times New Roman" w:cs="Times New Roman"/>
                <w:color w:val="auto"/>
                <w:szCs w:val="21"/>
              </w:rPr>
            </w:pPr>
            <w:r>
              <w:rPr>
                <w:rFonts w:ascii="Times New Roman" w:hAnsi="Times New Roman"/>
                <w:color w:val="auto"/>
                <w:szCs w:val="21"/>
              </w:rPr>
              <w:t>U</w:t>
            </w:r>
            <w:r>
              <w:rPr>
                <w:rFonts w:hint="eastAsia" w:ascii="Times New Roman" w:hAnsi="Times New Roman"/>
                <w:color w:val="auto"/>
                <w:szCs w:val="21"/>
              </w:rPr>
              <w:t>v-9000SZA-08-01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氯甲烷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HJ 605-2011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吹扫捕集/气相色谱-质谱法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AgilentGC-MS 6890-5975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硝基苯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HJ 834-2017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气相色谱-质谱法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AgilentGC-MS 6890-5973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2379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苯胺</w:t>
            </w:r>
          </w:p>
        </w:tc>
        <w:tc>
          <w:tcPr>
            <w:tcW w:w="2386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GB 5085.3-2007附录K</w:t>
            </w:r>
          </w:p>
        </w:tc>
        <w:tc>
          <w:tcPr>
            <w:tcW w:w="2005" w:type="dxa"/>
            <w:tcBorders>
              <w:tl2br w:val="nil"/>
              <w:tr2bl w:val="nil"/>
            </w:tcBorders>
          </w:tcPr>
          <w:p>
            <w:pPr>
              <w:spacing w:line="360" w:lineRule="auto"/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气相色谱法</w:t>
            </w:r>
          </w:p>
        </w:tc>
        <w:tc>
          <w:tcPr>
            <w:tcW w:w="2346" w:type="dxa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Agilent 7890B</w:t>
            </w:r>
          </w:p>
        </w:tc>
      </w:tr>
    </w:tbl>
    <w:p>
      <w:pPr>
        <w:rPr>
          <w:rFonts w:ascii="楷体" w:hAnsi="楷体" w:eastAsia="楷体" w:cs="楷体"/>
          <w:b/>
          <w:bCs/>
          <w:sz w:val="24"/>
        </w:rPr>
      </w:pPr>
    </w:p>
    <w:p>
      <w:pPr>
        <w:rPr>
          <w:rFonts w:ascii="楷体" w:hAnsi="楷体" w:eastAsia="楷体" w:cs="楷体"/>
          <w:b/>
          <w:bCs/>
          <w:sz w:val="24"/>
        </w:rPr>
      </w:pPr>
      <w:r>
        <w:rPr>
          <w:rFonts w:hint="eastAsia" w:ascii="楷体" w:hAnsi="楷体" w:eastAsia="楷体" w:cs="楷体"/>
          <w:b/>
          <w:bCs/>
          <w:sz w:val="24"/>
          <w:lang w:val="en-US" w:eastAsia="zh-CN"/>
        </w:rPr>
        <w:t>2、</w:t>
      </w:r>
      <w:r>
        <w:rPr>
          <w:rFonts w:hint="eastAsia" w:ascii="楷体" w:hAnsi="楷体" w:eastAsia="楷体" w:cs="楷体"/>
          <w:b/>
          <w:bCs/>
          <w:sz w:val="24"/>
        </w:rPr>
        <w:t>人员资质</w:t>
      </w:r>
    </w:p>
    <w:p>
      <w:pPr>
        <w:spacing w:line="360" w:lineRule="auto"/>
        <w:rPr>
          <w:rFonts w:ascii="楷体" w:hAnsi="楷体" w:eastAsia="楷体" w:cs="楷体"/>
          <w:color w:val="000000"/>
          <w:sz w:val="24"/>
          <w:szCs w:val="22"/>
        </w:rPr>
      </w:pPr>
      <w:r>
        <w:rPr>
          <w:rFonts w:hint="eastAsia" w:ascii="楷体" w:hAnsi="楷体" w:eastAsia="楷体" w:cs="楷体"/>
          <w:color w:val="000000"/>
          <w:sz w:val="24"/>
          <w:szCs w:val="22"/>
        </w:rPr>
        <w:t xml:space="preserve">    本次项目的检测人员经过上岗证考核并持有合格证书，部分监测人员资质一览表见下表</w:t>
      </w:r>
    </w:p>
    <w:p>
      <w:pPr>
        <w:spacing w:line="360" w:lineRule="auto"/>
        <w:jc w:val="center"/>
        <w:rPr>
          <w:rFonts w:ascii="Times New Roman" w:hAnsi="Times New Roman" w:eastAsia="楷体" w:cs="Times New Roman"/>
          <w:b/>
          <w:bCs/>
          <w:color w:val="000000"/>
          <w:sz w:val="24"/>
        </w:rPr>
      </w:pPr>
      <w:r>
        <w:rPr>
          <w:rFonts w:ascii="Times New Roman" w:hAnsi="Times New Roman" w:eastAsia="楷体" w:cs="Times New Roman"/>
          <w:b/>
          <w:bCs/>
          <w:color w:val="000000"/>
          <w:sz w:val="24"/>
        </w:rPr>
        <w:t xml:space="preserve"> 部分人员资质一览表</w:t>
      </w:r>
    </w:p>
    <w:tbl>
      <w:tblPr>
        <w:tblStyle w:val="6"/>
        <w:tblW w:w="869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920"/>
        <w:gridCol w:w="3360"/>
        <w:gridCol w:w="227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本项目分工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</w:pPr>
            <w:r>
              <w:rPr>
                <w:rFonts w:ascii="Times New Roman" w:hAnsi="Times New Roman" w:eastAsia="楷体" w:cs="Times New Roman"/>
                <w:b/>
                <w:bCs/>
                <w:color w:val="000000"/>
                <w:sz w:val="24"/>
              </w:rPr>
              <w:t>上岗证编号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1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王浩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采样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ZJZH(上岗)002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2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徐凌云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采样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ZJZH(上岗)022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3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张继友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ZJZH(上岗)005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4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林天风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ZJZH(上岗)019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5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章万元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ZJZH(上岗)016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6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罗小亚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分析检测、报告审核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ZJZH(上岗)001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邵金鹏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ZJZH(上岗)003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7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祝丽玉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ZJZH(上岗)015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8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项云鹏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分析检测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000000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000000"/>
                <w:szCs w:val="21"/>
              </w:rPr>
              <w:t>ZJZH(上岗)021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1132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9</w:t>
            </w:r>
          </w:p>
        </w:tc>
        <w:tc>
          <w:tcPr>
            <w:tcW w:w="192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hint="default" w:ascii="Times New Roman" w:hAnsi="Times New Roman" w:eastAsia="楷体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Cs w:val="21"/>
                <w:lang w:val="en-US" w:eastAsia="zh-CN"/>
              </w:rPr>
              <w:t>黄都晓</w:t>
            </w:r>
          </w:p>
        </w:tc>
        <w:tc>
          <w:tcPr>
            <w:tcW w:w="3360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jc w:val="center"/>
              <w:rPr>
                <w:rFonts w:ascii="Times New Roman" w:hAnsi="Times New Roman" w:eastAsia="楷体" w:cs="Times New Roman"/>
                <w:color w:val="auto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报告签发</w:t>
            </w:r>
          </w:p>
        </w:tc>
        <w:tc>
          <w:tcPr>
            <w:tcW w:w="2278" w:type="dxa"/>
            <w:tcBorders>
              <w:tl2br w:val="nil"/>
              <w:tr2bl w:val="nil"/>
            </w:tcBorders>
            <w:vAlign w:val="center"/>
          </w:tcPr>
          <w:p>
            <w:pPr>
              <w:spacing w:line="260" w:lineRule="exact"/>
              <w:rPr>
                <w:rFonts w:ascii="Times New Roman" w:hAnsi="Times New Roman" w:eastAsia="楷体" w:cs="Times New Roman"/>
                <w:b/>
                <w:bCs/>
                <w:color w:val="auto"/>
                <w:szCs w:val="21"/>
              </w:rPr>
            </w:pPr>
            <w:r>
              <w:rPr>
                <w:rFonts w:ascii="Times New Roman" w:hAnsi="Times New Roman" w:eastAsia="楷体" w:cs="Times New Roman"/>
                <w:color w:val="auto"/>
                <w:szCs w:val="21"/>
              </w:rPr>
              <w:t>（采）字第2018-222</w:t>
            </w:r>
          </w:p>
        </w:tc>
      </w:tr>
    </w:tbl>
    <w:p>
      <w:pPr>
        <w:rPr>
          <w:rFonts w:ascii="楷体" w:hAnsi="楷体" w:eastAsia="楷体" w:cs="楷体"/>
          <w:sz w:val="24"/>
        </w:rPr>
      </w:pPr>
    </w:p>
    <w:p>
      <w:pPr>
        <w:rPr>
          <w:rFonts w:hint="eastAsia" w:ascii="楷体" w:hAnsi="楷体" w:eastAsia="楷体" w:cs="楷体"/>
          <w:b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lang w:val="en-US" w:eastAsia="zh-CN"/>
        </w:rPr>
        <w:t>3、土壤检测分析过程中的质量保证和质量控制</w:t>
      </w:r>
    </w:p>
    <w:p>
      <w:pPr>
        <w:spacing w:line="360" w:lineRule="auto"/>
        <w:ind w:firstLine="480" w:firstLineChars="200"/>
        <w:rPr>
          <w:rFonts w:ascii="楷体" w:hAnsi="楷体" w:eastAsia="楷体" w:cs="楷体"/>
          <w:color w:val="000000"/>
          <w:sz w:val="24"/>
        </w:rPr>
      </w:pPr>
      <w:r>
        <w:rPr>
          <w:rFonts w:hint="eastAsia" w:ascii="Times New Roman" w:hAnsi="Times New Roman" w:eastAsia="楷体" w:cs="Times New Roman"/>
          <w:sz w:val="24"/>
        </w:rPr>
        <w:t>土壤</w:t>
      </w:r>
      <w:r>
        <w:rPr>
          <w:rFonts w:ascii="Times New Roman" w:hAnsi="Times New Roman" w:eastAsia="楷体" w:cs="Times New Roman"/>
          <w:color w:val="000000"/>
          <w:sz w:val="24"/>
        </w:rPr>
        <w:t>样</w:t>
      </w:r>
      <w:r>
        <w:rPr>
          <w:rFonts w:hint="eastAsia" w:ascii="Times New Roman" w:hAnsi="Times New Roman" w:eastAsia="楷体" w:cs="Times New Roman"/>
          <w:color w:val="000000"/>
          <w:sz w:val="24"/>
        </w:rPr>
        <w:t>品</w:t>
      </w:r>
      <w:r>
        <w:rPr>
          <w:rFonts w:ascii="Times New Roman" w:hAnsi="Times New Roman" w:eastAsia="楷体" w:cs="Times New Roman"/>
          <w:color w:val="000000"/>
          <w:sz w:val="24"/>
        </w:rPr>
        <w:t>的采集、运输、保存、实验室分析和数据计算的全过程均按《</w:t>
      </w:r>
      <w:r>
        <w:rPr>
          <w:rFonts w:hint="eastAsia" w:ascii="Times New Roman" w:hAnsi="Times New Roman" w:eastAsia="楷体" w:cs="Times New Roman"/>
          <w:color w:val="000000"/>
          <w:sz w:val="24"/>
        </w:rPr>
        <w:t>土壤环境监测技术规范</w:t>
      </w:r>
      <w:r>
        <w:rPr>
          <w:rFonts w:ascii="Times New Roman" w:hAnsi="Times New Roman" w:eastAsia="楷体" w:cs="Times New Roman"/>
          <w:color w:val="000000"/>
          <w:sz w:val="24"/>
        </w:rPr>
        <w:t>》HJ/T16</w:t>
      </w:r>
      <w:r>
        <w:rPr>
          <w:rFonts w:hint="eastAsia" w:ascii="Times New Roman" w:hAnsi="Times New Roman" w:eastAsia="楷体" w:cs="Times New Roman"/>
          <w:color w:val="000000"/>
          <w:sz w:val="24"/>
        </w:rPr>
        <w:t>6</w:t>
      </w:r>
      <w:r>
        <w:rPr>
          <w:rFonts w:ascii="Times New Roman" w:hAnsi="Times New Roman" w:eastAsia="楷体" w:cs="Times New Roman"/>
          <w:color w:val="000000"/>
          <w:sz w:val="24"/>
        </w:rPr>
        <w:t>-2004的要求进行。采样过程中采集一定比例的平行样和空白样；实验室分析过程使用标准物质、空白试验、平行样测定、加标回收率</w:t>
      </w:r>
      <w:r>
        <w:rPr>
          <w:rFonts w:hint="eastAsia" w:ascii="楷体" w:hAnsi="楷体" w:eastAsia="楷体" w:cs="楷体"/>
          <w:color w:val="000000"/>
          <w:sz w:val="24"/>
        </w:rPr>
        <w:t>等质控措施，质控数据符合相关质控要求，部分质控分析结果情况见下表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420" w:leftChars="-200" w:firstLine="560"/>
        <w:jc w:val="center"/>
        <w:textAlignment w:val="auto"/>
        <w:rPr>
          <w:rFonts w:ascii="Times New Roman" w:hAnsi="Times New Roman" w:eastAsia="仿宋" w:cs="Times New Roman"/>
          <w:b/>
          <w:bCs/>
          <w:color w:val="000000"/>
          <w:sz w:val="24"/>
        </w:rPr>
      </w:pPr>
      <w:r>
        <w:rPr>
          <w:rFonts w:hint="default" w:ascii="Times New Roman" w:hAnsi="Times New Roman" w:eastAsia="楷体" w:cs="Times New Roman"/>
          <w:b/>
          <w:bCs/>
          <w:color w:val="000000"/>
          <w:sz w:val="24"/>
          <w:szCs w:val="24"/>
        </w:rPr>
        <w:t>部分质控分析结果情况一览表</w:t>
      </w:r>
      <w:r>
        <w:rPr>
          <w:rFonts w:hint="default" w:ascii="Times New Roman" w:hAnsi="Times New Roman" w:eastAsia="楷体" w:cs="Times New Roman"/>
          <w:b/>
          <w:bCs/>
          <w:color w:val="000000"/>
          <w:sz w:val="24"/>
          <w:szCs w:val="24"/>
          <w:lang w:val="en-US" w:eastAsia="zh-CN"/>
        </w:rPr>
        <w:t>-1    单位mg/kg</w:t>
      </w:r>
    </w:p>
    <w:tbl>
      <w:tblPr>
        <w:tblStyle w:val="6"/>
        <w:tblW w:w="8556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1"/>
        <w:gridCol w:w="1653"/>
        <w:gridCol w:w="1487"/>
        <w:gridCol w:w="1377"/>
        <w:gridCol w:w="187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控制项目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控制措施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测定结果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要求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2-氯酚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Arial" w:hAnsi="Arial" w:eastAsia="楷体" w:cs="Arial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0.04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Arial" w:hAnsi="Arial" w:eastAsia="楷体" w:cs="Arial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0.04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萘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˂3.00×10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˂3.00×10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苯并（a）蒽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4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4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䓛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˂3.00×10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˂3.00×10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苯并（b）荧蒽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苯并（k）荧蒽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苯并（a）芘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二苯并（a,h）蒽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5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茚并（1,2,3-c,d）芘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4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4</w:t>
            </w:r>
            <w:r>
              <w:rPr>
                <w:rFonts w:ascii="Times New Roman" w:hAnsi="Times New Roman" w:eastAsia="楷体" w:cs="Times New Roman"/>
                <w:szCs w:val="21"/>
              </w:rPr>
              <w:t>.00×10</w:t>
            </w:r>
            <w:r>
              <w:rPr>
                <w:rFonts w:ascii="Times New Roman" w:hAnsi="Times New Roman" w:eastAsia="楷体" w:cs="Times New Roman"/>
                <w:szCs w:val="21"/>
                <w:vertAlign w:val="superscript"/>
              </w:rPr>
              <w:t>-3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1,1-二氯乙烯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二氯甲烷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反-1,2-二氯乙烯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1,1-二氯乙烷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顺-1,2-二氯乙烯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氯仿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1,1,1-三氯乙烷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四氯化碳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˂0.03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˂0.03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1,2-二氯乙烷+苯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三氯乙烯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1,2-二氯丙烷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甲苯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1,1,2-三氯乙烷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四氯乙烯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˂0.005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˂0.005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1,1,1,2-四氯乙烷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乙苯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间/对二甲苯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邻二甲苯+苯乙烯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1,1,2,2-四氯乙烷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1,2,3-三氯丙烷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1,4-二氯苯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216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1,2-二氯苯</w:t>
            </w:r>
          </w:p>
        </w:tc>
        <w:tc>
          <w:tcPr>
            <w:tcW w:w="16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空白样</w:t>
            </w:r>
          </w:p>
        </w:tc>
        <w:tc>
          <w:tcPr>
            <w:tcW w:w="148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377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18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</w:tbl>
    <w:p>
      <w:pPr>
        <w:rPr>
          <w:rFonts w:ascii="楷体" w:hAnsi="楷体" w:eastAsia="楷体" w:cs="楷体"/>
          <w:sz w:val="24"/>
        </w:rPr>
      </w:pPr>
    </w:p>
    <w:p>
      <w:pPr>
        <w:rPr>
          <w:rFonts w:ascii="楷体" w:hAnsi="楷体" w:eastAsia="楷体" w:cs="楷体"/>
          <w:sz w:val="24"/>
        </w:rPr>
      </w:pPr>
    </w:p>
    <w:p>
      <w:pPr>
        <w:jc w:val="center"/>
        <w:rPr>
          <w:rFonts w:ascii="楷体" w:hAnsi="楷体" w:eastAsia="楷体" w:cs="楷体"/>
          <w:sz w:val="24"/>
        </w:rPr>
      </w:pPr>
      <w:r>
        <w:rPr>
          <w:rFonts w:hint="default" w:ascii="Times New Roman" w:hAnsi="Times New Roman" w:eastAsia="楷体" w:cs="Times New Roman"/>
          <w:b/>
          <w:bCs/>
          <w:color w:val="000000"/>
          <w:sz w:val="24"/>
          <w:szCs w:val="24"/>
        </w:rPr>
        <w:t>部分质控分析结果情况一览表</w:t>
      </w:r>
      <w:r>
        <w:rPr>
          <w:rFonts w:hint="default" w:ascii="Times New Roman" w:hAnsi="Times New Roman" w:eastAsia="楷体" w:cs="Times New Roman"/>
          <w:b/>
          <w:bCs/>
          <w:color w:val="000000"/>
          <w:sz w:val="24"/>
          <w:szCs w:val="24"/>
          <w:lang w:val="en-US" w:eastAsia="zh-CN"/>
        </w:rPr>
        <w:t>-2</w:t>
      </w:r>
    </w:p>
    <w:tbl>
      <w:tblPr>
        <w:tblStyle w:val="6"/>
        <w:tblW w:w="8640" w:type="dxa"/>
        <w:jc w:val="center"/>
        <w:tblInd w:w="-275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1907"/>
        <w:gridCol w:w="881"/>
        <w:gridCol w:w="1238"/>
        <w:gridCol w:w="975"/>
        <w:gridCol w:w="1081"/>
        <w:gridCol w:w="14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110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采样点位</w:t>
            </w:r>
          </w:p>
        </w:tc>
        <w:tc>
          <w:tcPr>
            <w:tcW w:w="1907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控制项目</w:t>
            </w:r>
          </w:p>
        </w:tc>
        <w:tc>
          <w:tcPr>
            <w:tcW w:w="8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控制措施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测定结果</w:t>
            </w:r>
          </w:p>
        </w:tc>
        <w:tc>
          <w:tcPr>
            <w:tcW w:w="975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相对偏差（%）</w:t>
            </w:r>
          </w:p>
        </w:tc>
        <w:tc>
          <w:tcPr>
            <w:tcW w:w="10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要求（%）</w:t>
            </w:r>
          </w:p>
        </w:tc>
        <w:tc>
          <w:tcPr>
            <w:tcW w:w="145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1-2</w:t>
            </w: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2-氯酚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Arial" w:hAnsi="Arial" w:eastAsia="楷体" w:cs="Arial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0.04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Arial" w:hAnsi="Arial" w:eastAsia="楷体" w:cs="Arial"/>
                <w:szCs w:val="21"/>
              </w:rPr>
              <w:t>˂</w:t>
            </w:r>
            <w:r>
              <w:rPr>
                <w:rFonts w:hint="eastAsia" w:ascii="Times New Roman" w:hAnsi="Times New Roman" w:eastAsia="楷体" w:cs="Times New Roman"/>
                <w:szCs w:val="21"/>
              </w:rPr>
              <w:t>0.04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萘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9.60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×10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27.2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5.50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×10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  <w:vertAlign w:val="superscript"/>
              </w:rPr>
              <w:t>-3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苯并（a）蒽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7.84×10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0.5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7.92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×10</w:t>
            </w:r>
            <w:r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-2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䓛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2.48×10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2.2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</w:t>
            </w:r>
            <w:r>
              <w:rPr>
                <w:rFonts w:hint="eastAsia" w:ascii="Times New Roman" w:hAnsi="Times New Roman" w:cs="Times New Roman"/>
                <w:color w:val="000000"/>
                <w:sz w:val="22"/>
                <w:szCs w:val="22"/>
              </w:rPr>
              <w:t>59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苯并（b）荧蒽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˂5.00×10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˂5.00×10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苯并（k）荧蒽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8.12×10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6.0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  <w:szCs w:val="22"/>
              </w:rPr>
              <w:t>9.15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苯并（a）芘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˂5.00×10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˂5.00×10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二苯并（a,h）蒽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0.107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0.9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0.105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茚并（1,2,3-c,d）芘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9.08×10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1.9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/>
                <w:sz w:val="22"/>
                <w:szCs w:val="22"/>
              </w:rPr>
              <w:t>8.74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×10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vertAlign w:val="superscript"/>
              </w:rPr>
              <w:t>-2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1-2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8-2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1,1-二氯乙烯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二氯甲烷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反-1,2-二氯乙烯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1,1-二氯乙烷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顺-1,2-二氯乙烯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氯仿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1,1,1-三氯乙烷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四氯化碳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˂0.03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˂0.03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1,2-二氯乙烷+苯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˂0.01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三氯乙烯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1,2-二氯丙烷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甲苯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1,1,2-三氯乙烷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四氯乙烯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氯苯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˂0.005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˂0.005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1,1,1,2-四氯乙烷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乙苯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˂0.006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间/对二甲苯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˂0.009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邻二甲苯+苯乙烯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1,1,2,2-四氯乙烷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1,2,3-三氯丙烷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1,4-二氯苯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˂0.008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1,2-二氯苯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≤25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exac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  <w:t>˂0.02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1-2</w:t>
            </w: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砷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4.06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4.08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镉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0.21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2.4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0.2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0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铜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25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2.0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铅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19.9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15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14.7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镍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28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5.1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31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汞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1.40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2.8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≤</w:t>
            </w: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30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1.48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0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1-2</w:t>
            </w:r>
          </w:p>
        </w:tc>
        <w:tc>
          <w:tcPr>
            <w:tcW w:w="1907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氰化物</w:t>
            </w:r>
          </w:p>
        </w:tc>
        <w:tc>
          <w:tcPr>
            <w:tcW w:w="8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平行样</w:t>
            </w: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&lt;0.04</w:t>
            </w:r>
          </w:p>
        </w:tc>
        <w:tc>
          <w:tcPr>
            <w:tcW w:w="975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&lt;0.04</w:t>
            </w:r>
          </w:p>
        </w:tc>
        <w:tc>
          <w:tcPr>
            <w:tcW w:w="1081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楷体" w:cs="Times New Roman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  <w:lang w:val="en-US" w:eastAsia="zh-CN"/>
              </w:rPr>
              <w:t>--</w:t>
            </w:r>
          </w:p>
        </w:tc>
        <w:tc>
          <w:tcPr>
            <w:tcW w:w="1450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110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07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8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23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  <w:t>&lt;0.04</w:t>
            </w:r>
          </w:p>
        </w:tc>
        <w:tc>
          <w:tcPr>
            <w:tcW w:w="975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</w:p>
        </w:tc>
        <w:tc>
          <w:tcPr>
            <w:tcW w:w="1081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450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ascii="楷体" w:hAnsi="楷体" w:eastAsia="楷体" w:cs="楷体"/>
          <w:sz w:val="24"/>
        </w:rPr>
      </w:pPr>
      <w:r>
        <w:rPr>
          <w:rFonts w:hint="default" w:ascii="Times New Roman" w:hAnsi="Times New Roman" w:eastAsia="楷体" w:cs="Times New Roman"/>
          <w:b/>
          <w:bCs/>
          <w:color w:val="000000"/>
          <w:sz w:val="24"/>
          <w:szCs w:val="24"/>
        </w:rPr>
        <w:t>部分质控分析结果情况一览表</w:t>
      </w:r>
      <w:r>
        <w:rPr>
          <w:rFonts w:hint="default" w:ascii="Times New Roman" w:hAnsi="Times New Roman" w:eastAsia="楷体" w:cs="Times New Roman"/>
          <w:b/>
          <w:bCs/>
          <w:color w:val="000000"/>
          <w:sz w:val="24"/>
          <w:szCs w:val="24"/>
          <w:lang w:val="en-US" w:eastAsia="zh-CN"/>
        </w:rPr>
        <w:t>-</w:t>
      </w:r>
      <w:r>
        <w:rPr>
          <w:rFonts w:hint="eastAsia" w:ascii="Times New Roman" w:hAnsi="Times New Roman" w:eastAsia="楷体" w:cs="Times New Roman"/>
          <w:b/>
          <w:bCs/>
          <w:color w:val="000000"/>
          <w:sz w:val="24"/>
          <w:szCs w:val="24"/>
          <w:lang w:val="en-US" w:eastAsia="zh-CN"/>
        </w:rPr>
        <w:t>3</w:t>
      </w:r>
    </w:p>
    <w:tbl>
      <w:tblPr>
        <w:tblStyle w:val="6"/>
        <w:tblW w:w="8666" w:type="dxa"/>
        <w:jc w:val="center"/>
        <w:tblInd w:w="-269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1991"/>
        <w:gridCol w:w="1078"/>
        <w:gridCol w:w="991"/>
        <w:gridCol w:w="851"/>
        <w:gridCol w:w="851"/>
        <w:gridCol w:w="1072"/>
        <w:gridCol w:w="107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采样点位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控制项目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控制措施</w:t>
            </w:r>
          </w:p>
        </w:tc>
        <w:tc>
          <w:tcPr>
            <w:tcW w:w="9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测定结果</w:t>
            </w: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(</w:t>
            </w:r>
            <w:r>
              <w:rPr>
                <w:rFonts w:ascii="Tahoma" w:hAnsi="Tahoma" w:eastAsia="楷体" w:cs="Tahoma"/>
                <w:b/>
                <w:bCs/>
                <w:szCs w:val="21"/>
              </w:rPr>
              <w:t>µ</w:t>
            </w: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g)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加标量（(</w:t>
            </w:r>
            <w:r>
              <w:rPr>
                <w:rFonts w:ascii="Tahoma" w:hAnsi="Tahoma" w:eastAsia="楷体" w:cs="Tahoma"/>
                <w:b/>
                <w:bCs/>
                <w:szCs w:val="21"/>
              </w:rPr>
              <w:t>µ</w:t>
            </w: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g)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回收率%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要求</w:t>
            </w:r>
            <w:r>
              <w:rPr>
                <w:rFonts w:hint="eastAsia" w:ascii="Times New Roman" w:hAnsi="Times New Roman" w:eastAsia="楷体" w:cs="Times New Roman"/>
                <w:b/>
                <w:bCs/>
                <w:szCs w:val="21"/>
              </w:rPr>
              <w:t>%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b/>
                <w:bCs/>
                <w:szCs w:val="21"/>
              </w:rPr>
            </w:pPr>
            <w:r>
              <w:rPr>
                <w:rFonts w:ascii="Times New Roman" w:hAnsi="Times New Roman" w:eastAsia="楷体" w:cs="Times New Roman"/>
                <w:b/>
                <w:bCs/>
                <w:szCs w:val="21"/>
              </w:rPr>
              <w:t>评判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6-3</w:t>
            </w:r>
          </w:p>
        </w:tc>
        <w:tc>
          <w:tcPr>
            <w:tcW w:w="1991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2-氯酚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17.4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20.0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87.0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50～140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restart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4-1</w:t>
            </w:r>
          </w:p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萘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1.45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72.0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苯并（a）蒽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1.81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90.5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䓛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1.69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84.5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苯并（b）荧蒽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1.81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90.5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苯并（k）荧蒽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1.69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84.5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苯并（a）芘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1.75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87.5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二苯并（a,h）蒽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1.67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83.5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760" w:type="dxa"/>
            <w:vMerge w:val="continue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</w:p>
        </w:tc>
        <w:tc>
          <w:tcPr>
            <w:tcW w:w="1991" w:type="dxa"/>
            <w:tcBorders>
              <w:tl2br w:val="nil"/>
              <w:tr2bl w:val="nil"/>
            </w:tcBorders>
          </w:tcPr>
          <w:p>
            <w:pPr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茚并（1,2,3-c,d）芘</w:t>
            </w:r>
          </w:p>
        </w:tc>
        <w:tc>
          <w:tcPr>
            <w:tcW w:w="107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加标回收</w:t>
            </w:r>
          </w:p>
        </w:tc>
        <w:tc>
          <w:tcPr>
            <w:tcW w:w="991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hint="eastAsia" w:ascii="Times New Roman" w:hAnsi="Times New Roman" w:eastAsia="楷体" w:cs="Times New Roman"/>
                <w:szCs w:val="21"/>
              </w:rPr>
              <w:t>1.69</w:t>
            </w:r>
          </w:p>
        </w:tc>
        <w:tc>
          <w:tcPr>
            <w:tcW w:w="851" w:type="dxa"/>
            <w:tcBorders>
              <w:tl2br w:val="nil"/>
              <w:tr2bl w:val="nil"/>
            </w:tcBorders>
          </w:tcPr>
          <w:p>
            <w:pPr>
              <w:jc w:val="center"/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2.0</w:t>
            </w:r>
          </w:p>
        </w:tc>
        <w:tc>
          <w:tcPr>
            <w:tcW w:w="85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</w:rPr>
              <w:t>84.5</w:t>
            </w:r>
          </w:p>
        </w:tc>
        <w:tc>
          <w:tcPr>
            <w:tcW w:w="1072" w:type="dxa"/>
            <w:tcBorders>
              <w:tl2br w:val="nil"/>
              <w:tr2bl w:val="nil"/>
            </w:tcBorders>
          </w:tcPr>
          <w:p>
            <w:pPr>
              <w:widowControl/>
              <w:jc w:val="center"/>
              <w:textAlignment w:val="top"/>
              <w:rPr>
                <w:rFonts w:ascii="Times New Roman" w:hAnsi="Times New Roman" w:eastAsia="宋体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Cs w:val="21"/>
              </w:rPr>
              <w:t>70~130</w:t>
            </w:r>
          </w:p>
        </w:tc>
        <w:tc>
          <w:tcPr>
            <w:tcW w:w="1072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楷体" w:cs="Times New Roman"/>
                <w:szCs w:val="21"/>
              </w:rPr>
            </w:pPr>
            <w:r>
              <w:rPr>
                <w:rFonts w:ascii="Times New Roman" w:hAnsi="Times New Roman" w:eastAsia="楷体" w:cs="Times New Roman"/>
                <w:szCs w:val="21"/>
              </w:rPr>
              <w:t>符合要求</w:t>
            </w:r>
          </w:p>
        </w:tc>
      </w:tr>
    </w:tbl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20" w:lineRule="exact"/>
        <w:ind w:left="-420" w:leftChars="-200" w:right="0"/>
        <w:jc w:val="both"/>
        <w:textAlignment w:val="auto"/>
        <w:rPr>
          <w:rFonts w:hint="eastAsia" w:ascii="Times New Roman" w:hAnsi="Times New Roman" w:eastAsia="楷体" w:cs="Times New Roman"/>
          <w:bCs/>
          <w:kern w:val="2"/>
          <w:sz w:val="24"/>
          <w:szCs w:val="24"/>
          <w:lang w:val="en-US" w:eastAsia="zh-CN" w:bidi="ar"/>
        </w:rPr>
        <w:sectPr>
          <w:pgSz w:w="11906" w:h="16838"/>
          <w:pgMar w:top="1134" w:right="1361" w:bottom="1134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20" w:lineRule="exact"/>
        <w:ind w:left="-315" w:leftChars="-150" w:right="0"/>
        <w:jc w:val="both"/>
        <w:textAlignment w:val="auto"/>
        <w:rPr>
          <w:rFonts w:hint="eastAsia" w:ascii="Times New Roman" w:hAnsi="Times New Roman" w:eastAsia="楷体" w:cs="Times New Roman"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楷体" w:cs="Times New Roman"/>
          <w:bCs/>
          <w:kern w:val="2"/>
          <w:sz w:val="24"/>
          <w:szCs w:val="24"/>
          <w:lang w:val="en-US" w:eastAsia="zh-CN" w:bidi="ar"/>
        </w:rPr>
        <w:t>现场采样样品照片</w:t>
      </w:r>
    </w:p>
    <w:tbl>
      <w:tblPr>
        <w:tblStyle w:val="7"/>
        <w:tblW w:w="9643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dotDash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2"/>
        <w:gridCol w:w="47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3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099392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8890</wp:posOffset>
                  </wp:positionV>
                  <wp:extent cx="3065780" cy="4354830"/>
                  <wp:effectExtent l="0" t="0" r="1270" b="7620"/>
                  <wp:wrapNone/>
                  <wp:docPr id="13" name="图片 13" descr="24511984938348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451198493834827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80" cy="435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099596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5715</wp:posOffset>
                  </wp:positionV>
                  <wp:extent cx="2983230" cy="4348480"/>
                  <wp:effectExtent l="0" t="0" r="7620" b="13970"/>
                  <wp:wrapNone/>
                  <wp:docPr id="15" name="图片 15" descr="775883823593399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7758838235933997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434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6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0996992" behindDoc="0" locked="0" layoutInCell="1" allowOverlap="1">
                  <wp:simplePos x="0" y="0"/>
                  <wp:positionH relativeFrom="column">
                    <wp:posOffset>3020695</wp:posOffset>
                  </wp:positionH>
                  <wp:positionV relativeFrom="paragraph">
                    <wp:posOffset>10795</wp:posOffset>
                  </wp:positionV>
                  <wp:extent cx="2999105" cy="4221480"/>
                  <wp:effectExtent l="0" t="0" r="10795" b="7620"/>
                  <wp:wrapNone/>
                  <wp:docPr id="16" name="图片 16" descr="182067381722018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820673817220184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42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09949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24765</wp:posOffset>
                  </wp:positionV>
                  <wp:extent cx="3065780" cy="4211320"/>
                  <wp:effectExtent l="0" t="0" r="1270" b="17780"/>
                  <wp:wrapNone/>
                  <wp:docPr id="14" name="图片 14" descr="34001995892863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3400199589286351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780" cy="421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综合仓库边1#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3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108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2540</wp:posOffset>
                  </wp:positionV>
                  <wp:extent cx="3057525" cy="4339590"/>
                  <wp:effectExtent l="0" t="0" r="9525" b="3810"/>
                  <wp:wrapNone/>
                  <wp:docPr id="20" name="图片 20" descr="60063621788102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006362178810255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33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6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0998016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37465</wp:posOffset>
                  </wp:positionV>
                  <wp:extent cx="2983865" cy="4340225"/>
                  <wp:effectExtent l="0" t="0" r="6985" b="3175"/>
                  <wp:wrapNone/>
                  <wp:docPr id="17" name="图片 17" descr="97955592967508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79555929675082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65" cy="434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6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099904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0</wp:posOffset>
                  </wp:positionV>
                  <wp:extent cx="3074035" cy="4458335"/>
                  <wp:effectExtent l="0" t="0" r="12065" b="18415"/>
                  <wp:wrapNone/>
                  <wp:docPr id="18" name="图片 18" descr="22815848715075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2815848715075630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44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006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13970</wp:posOffset>
                  </wp:positionV>
                  <wp:extent cx="2991485" cy="4443095"/>
                  <wp:effectExtent l="0" t="0" r="18415" b="14605"/>
                  <wp:wrapNone/>
                  <wp:docPr id="19" name="图片 19" descr="58820988165059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882098816505983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444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4车间边2#</w:t>
            </w:r>
          </w:p>
        </w:tc>
      </w:tr>
    </w:tbl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20" w:lineRule="exact"/>
        <w:ind w:left="0" w:right="0"/>
        <w:jc w:val="both"/>
        <w:rPr>
          <w:rFonts w:ascii="Times New Roman" w:hAnsi="Times New Roman" w:eastAsia="楷体" w:cs="Times New Roman"/>
          <w:b/>
          <w:color w:val="auto"/>
          <w:sz w:val="24"/>
          <w:u w:val="single"/>
        </w:rPr>
      </w:pPr>
    </w:p>
    <w:tbl>
      <w:tblPr>
        <w:tblStyle w:val="7"/>
        <w:tblW w:w="9643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dotDash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2"/>
        <w:gridCol w:w="47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3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211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19685</wp:posOffset>
                  </wp:positionV>
                  <wp:extent cx="3057525" cy="4346575"/>
                  <wp:effectExtent l="0" t="0" r="9525" b="15875"/>
                  <wp:wrapNone/>
                  <wp:docPr id="21" name="图片 21" descr="17516350911277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751635091127765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434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4160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-2540</wp:posOffset>
                  </wp:positionV>
                  <wp:extent cx="2990850" cy="4380230"/>
                  <wp:effectExtent l="0" t="0" r="0" b="1270"/>
                  <wp:wrapNone/>
                  <wp:docPr id="23" name="图片 23" descr="19745070213482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974507021348267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438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6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313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21590</wp:posOffset>
                  </wp:positionV>
                  <wp:extent cx="3072765" cy="4211320"/>
                  <wp:effectExtent l="0" t="0" r="13335" b="17780"/>
                  <wp:wrapNone/>
                  <wp:docPr id="22" name="图片 22" descr="18369538502150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836953850215056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421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518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18415</wp:posOffset>
                  </wp:positionV>
                  <wp:extent cx="2999105" cy="4221480"/>
                  <wp:effectExtent l="0" t="0" r="10795" b="7620"/>
                  <wp:wrapNone/>
                  <wp:docPr id="24" name="图片 24" descr="722490230545890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224902305458901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42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储罐区3#</w:t>
            </w:r>
          </w:p>
        </w:tc>
      </w:tr>
    </w:tbl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20" w:lineRule="exact"/>
        <w:ind w:left="0" w:right="0"/>
        <w:jc w:val="both"/>
        <w:rPr>
          <w:rFonts w:ascii="Times New Roman" w:hAnsi="Times New Roman" w:eastAsia="楷体" w:cs="Times New Roman"/>
          <w:b/>
          <w:color w:val="auto"/>
          <w:sz w:val="24"/>
          <w:u w:val="single"/>
        </w:rPr>
      </w:pPr>
    </w:p>
    <w:tbl>
      <w:tblPr>
        <w:tblStyle w:val="7"/>
        <w:tblW w:w="9643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dotDash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2"/>
        <w:gridCol w:w="47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3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6208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6985</wp:posOffset>
                  </wp:positionV>
                  <wp:extent cx="3074035" cy="4346575"/>
                  <wp:effectExtent l="0" t="0" r="12065" b="15875"/>
                  <wp:wrapNone/>
                  <wp:docPr id="25" name="图片 25" descr="34544081293132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3454408129313259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434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72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20955</wp:posOffset>
                  </wp:positionV>
                  <wp:extent cx="2990850" cy="4340225"/>
                  <wp:effectExtent l="0" t="0" r="0" b="3175"/>
                  <wp:wrapNone/>
                  <wp:docPr id="26" name="图片 26" descr="531542754875554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315427548755547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434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6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8256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7620</wp:posOffset>
                  </wp:positionV>
                  <wp:extent cx="3089275" cy="4235450"/>
                  <wp:effectExtent l="0" t="0" r="15875" b="12700"/>
                  <wp:wrapNone/>
                  <wp:docPr id="27" name="图片 27" descr="652418947667504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524189476675041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42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9280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2540</wp:posOffset>
                  </wp:positionV>
                  <wp:extent cx="2983230" cy="4237355"/>
                  <wp:effectExtent l="0" t="0" r="7620" b="10795"/>
                  <wp:wrapNone/>
                  <wp:docPr id="29" name="图片 29" descr="175033564468158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1750335644681582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30" cy="423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污水处理站4#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3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9280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36830</wp:posOffset>
                  </wp:positionV>
                  <wp:extent cx="3074035" cy="4363085"/>
                  <wp:effectExtent l="0" t="0" r="12065" b="18415"/>
                  <wp:wrapNone/>
                  <wp:docPr id="32" name="图片 32" descr="44426454988657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4426454988657401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928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29845</wp:posOffset>
                  </wp:positionV>
                  <wp:extent cx="2982595" cy="4355465"/>
                  <wp:effectExtent l="0" t="0" r="8255" b="6985"/>
                  <wp:wrapNone/>
                  <wp:docPr id="30" name="图片 30" descr="175033564468158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17503356446815826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595" cy="435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6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9280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6985</wp:posOffset>
                  </wp:positionV>
                  <wp:extent cx="3058160" cy="4219575"/>
                  <wp:effectExtent l="0" t="0" r="8890" b="9525"/>
                  <wp:wrapNone/>
                  <wp:docPr id="34" name="图片 34" descr="587431944418554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5874319444185543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9280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34290</wp:posOffset>
                  </wp:positionV>
                  <wp:extent cx="2967355" cy="4213225"/>
                  <wp:effectExtent l="0" t="0" r="4445" b="15875"/>
                  <wp:wrapNone/>
                  <wp:docPr id="31" name="图片 31" descr="16191929146722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1619192914672213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421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13车间边5#</w:t>
            </w:r>
          </w:p>
        </w:tc>
      </w:tr>
    </w:tbl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20" w:lineRule="exact"/>
        <w:ind w:left="0" w:right="0"/>
        <w:jc w:val="both"/>
        <w:rPr>
          <w:rFonts w:ascii="Times New Roman" w:hAnsi="Times New Roman" w:eastAsia="楷体" w:cs="Times New Roman"/>
          <w:b/>
          <w:color w:val="auto"/>
          <w:sz w:val="24"/>
          <w:u w:val="single"/>
        </w:rPr>
      </w:pPr>
    </w:p>
    <w:tbl>
      <w:tblPr>
        <w:tblStyle w:val="7"/>
        <w:tblW w:w="9643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dotDash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82"/>
        <w:gridCol w:w="47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1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11328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-12700</wp:posOffset>
                  </wp:positionV>
                  <wp:extent cx="3089275" cy="3852545"/>
                  <wp:effectExtent l="0" t="0" r="15875" b="14605"/>
                  <wp:wrapNone/>
                  <wp:docPr id="37" name="图片 37" descr="671477708677423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67147770867742347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385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both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10304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17145</wp:posOffset>
                  </wp:positionV>
                  <wp:extent cx="2968625" cy="3840480"/>
                  <wp:effectExtent l="0" t="0" r="3175" b="7620"/>
                  <wp:wrapNone/>
                  <wp:docPr id="36" name="图片 36" descr="146614411421798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4661441142179800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625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9" w:hRule="atLeast"/>
          <w:jc w:val="center"/>
        </w:trPr>
        <w:tc>
          <w:tcPr>
            <w:tcW w:w="488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0928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26670</wp:posOffset>
                  </wp:positionV>
                  <wp:extent cx="3042285" cy="3823335"/>
                  <wp:effectExtent l="0" t="0" r="5715" b="5715"/>
                  <wp:wrapNone/>
                  <wp:docPr id="35" name="图片 35" descr="6875112127235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6875112127235297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285" cy="382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  <w:tc>
          <w:tcPr>
            <w:tcW w:w="476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  <w:drawing>
                <wp:anchor distT="0" distB="0" distL="114300" distR="114300" simplePos="0" relativeHeight="2231012352" behindDoc="1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20320</wp:posOffset>
                  </wp:positionV>
                  <wp:extent cx="2958465" cy="3816985"/>
                  <wp:effectExtent l="0" t="0" r="13335" b="12065"/>
                  <wp:wrapNone/>
                  <wp:docPr id="38" name="图片 38" descr="824750909431089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82475090943108931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381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widowControl w:val="0"/>
              <w:suppressLineNumbers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left"/>
              <w:rPr>
                <w:rFonts w:hint="eastAsia" w:ascii="Times New Roman" w:hAnsi="Times New Roman" w:eastAsia="楷体" w:cs="Times New Roman"/>
                <w:bCs/>
                <w:sz w:val="24"/>
                <w:szCs w:val="24"/>
                <w:u w:val="dotted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dotDash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964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320" w:lineRule="exact"/>
              <w:ind w:left="0" w:right="0"/>
              <w:jc w:val="center"/>
              <w:textAlignment w:val="auto"/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楷体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生活区后面6#</w:t>
            </w:r>
          </w:p>
        </w:tc>
      </w:tr>
    </w:tbl>
    <w:p>
      <w:pPr>
        <w:keepNext w:val="0"/>
        <w:keepLines w:val="0"/>
        <w:widowControl w:val="0"/>
        <w:suppressLineNumbers w:val="0"/>
        <w:adjustRightInd w:val="0"/>
        <w:snapToGrid w:val="0"/>
        <w:spacing w:before="0" w:beforeAutospacing="0" w:after="0" w:afterAutospacing="0" w:line="320" w:lineRule="exact"/>
        <w:ind w:left="0" w:right="0"/>
        <w:jc w:val="both"/>
        <w:rPr>
          <w:rFonts w:ascii="Times New Roman" w:hAnsi="Times New Roman" w:eastAsia="楷体" w:cs="Times New Roman"/>
          <w:b/>
          <w:color w:val="auto"/>
          <w:sz w:val="24"/>
          <w:u w:val="single"/>
        </w:rPr>
      </w:pPr>
      <w:r>
        <w:rPr>
          <w:rFonts w:hint="default" w:ascii="Calibri" w:hAnsi="Calibri" w:eastAsia="宋体" w:cs="Times New Roman"/>
          <w:snapToGrid w:val="0"/>
          <w:kern w:val="2"/>
          <w:sz w:val="21"/>
          <w:szCs w:val="24"/>
          <w:lang w:val="en-US" w:eastAsia="zh-CN" w:bidi="ar"/>
        </w:rPr>
        <mc:AlternateContent>
          <mc:Choice Requires="wps">
            <w:drawing>
              <wp:anchor distT="0" distB="0" distL="114300" distR="114300" simplePos="0" relativeHeight="245366784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2194560</wp:posOffset>
                </wp:positionV>
                <wp:extent cx="205105" cy="95250"/>
                <wp:effectExtent l="0" t="0" r="4445" b="0"/>
                <wp:wrapNone/>
                <wp:docPr id="28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2" o:spid="_x0000_s1026" o:spt="1" style="position:absolute;left:0pt;margin-left:285.55pt;margin-top:172.8pt;height:7.5pt;width:16.15pt;z-index:245366784;mso-width-relative:page;mso-height-relative:page;" fillcolor="#FFFFFF [3212]" filled="t" stroked="f" coordsize="21600,21600" o:gfxdata="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CFLh92QAAAAsB&#10;AAAPAAAAAAAAAAEAIAAAACIAAABkcnMvZG93bnJldi54bWxQSwECFAAUAAAACACHTuJAtug/h6gB&#10;AAApAwAADgAAAAAAAAABACAAAAAoAQAAZHJzL2Uyb0RvYy54bWxQSwUGAAAAAAYABgBZAQAAQgUA&#10;AAAA&#10;">
                <v:fill on="t" focussize="0,0"/>
                <v:stroke on="f" weight="1pt"/>
                <v:imagedata o:title=""/>
                <o:lock v:ext="edit" aspectratio="f"/>
              </v:rect>
            </w:pict>
          </mc:Fallback>
        </mc:AlternateContent>
      </w: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2194560</wp:posOffset>
                </wp:positionV>
                <wp:extent cx="205105" cy="95250"/>
                <wp:effectExtent l="6350" t="6350" r="17145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9485" y="7640320"/>
                          <a:ext cx="20510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55pt;margin-top:172.8pt;height:7.5pt;width:16.15pt;z-index:251721728;v-text-anchor:middle;mso-width-relative:page;mso-height-relative:page;" fillcolor="#FFFFFF [3212]" filled="t" stroked="f" coordsize="21600,21600" o:gfxdata="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2&#10;OzRl2gAAAAsBAAAPAAAAAAAAAAEAIAAAACIAAABkcnMvZG93bnJldi54bWxQSwECFAAUAAAACACH&#10;TuJA2oumjFsCAACJBAAADgAAAAAAAAABACAAAAAp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0" w:lineRule="exact"/>
        <w:ind w:left="-283" w:leftChars="-135" w:right="-340" w:rightChars="-162"/>
        <w:textAlignment w:val="auto"/>
        <w:rPr>
          <w:rFonts w:ascii="Times New Roman" w:hAnsi="Times New Roman" w:eastAsia="楷体" w:cs="Times New Roman"/>
          <w:b/>
          <w:color w:val="auto"/>
          <w:sz w:val="24"/>
          <w:u w:val="single"/>
        </w:rPr>
      </w:pPr>
      <w:r>
        <w:rPr>
          <w:rFonts w:ascii="Times New Roman" w:hAnsi="Times New Roman" w:eastAsia="楷体" w:cs="Times New Roman"/>
          <w:b/>
          <w:color w:val="auto"/>
          <w:sz w:val="24"/>
          <w:u w:val="single"/>
        </w:rPr>
        <w:t xml:space="preserve">                                    END </w:t>
      </w:r>
      <w:r>
        <w:rPr>
          <w:rFonts w:hint="eastAsia" w:ascii="Times New Roman" w:hAnsi="Times New Roman" w:eastAsia="楷体" w:cs="Times New Roman"/>
          <w:b/>
          <w:color w:val="auto"/>
          <w:sz w:val="24"/>
          <w:u w:val="single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80" w:lineRule="exact"/>
        <w:ind w:left="-286" w:leftChars="-136" w:right="-372" w:rightChars="-177"/>
        <w:textAlignment w:val="auto"/>
        <w:rPr>
          <w:rFonts w:ascii="Times New Roman" w:hAnsi="Times New Roman" w:eastAsia="楷体" w:cs="Times New Roman"/>
          <w:color w:val="auto"/>
          <w:sz w:val="24"/>
        </w:rPr>
      </w:pPr>
      <w:r>
        <w:rPr>
          <w:rFonts w:hint="eastAsia" w:ascii="Times New Roman" w:hAnsi="楷体" w:eastAsia="楷体" w:cs="Times New Roman"/>
          <w:color w:val="auto"/>
          <w:sz w:val="24"/>
        </w:rPr>
        <w:t>报告编制：</w:t>
      </w:r>
      <w:r>
        <w:rPr>
          <w:rFonts w:ascii="Times New Roman" w:hAnsi="Times New Roman" w:eastAsia="楷体" w:cs="Times New Roman"/>
          <w:color w:val="auto"/>
          <w:sz w:val="24"/>
        </w:rPr>
        <w:tab/>
      </w:r>
      <w:r>
        <w:rPr>
          <w:rFonts w:ascii="Times New Roman" w:hAnsi="Times New Roman" w:eastAsia="楷体" w:cs="Times New Roman"/>
          <w:color w:val="auto"/>
          <w:sz w:val="24"/>
        </w:rPr>
        <w:tab/>
      </w:r>
      <w:r>
        <w:rPr>
          <w:rFonts w:hint="eastAsia" w:ascii="Times New Roman" w:hAnsi="Times New Roman" w:eastAsia="楷体" w:cs="Times New Roman"/>
          <w:color w:val="auto"/>
          <w:sz w:val="24"/>
          <w:lang w:val="en-US" w:eastAsia="zh-CN"/>
        </w:rPr>
        <w:t xml:space="preserve">            </w:t>
      </w:r>
      <w:r>
        <w:rPr>
          <w:rFonts w:hint="eastAsia" w:ascii="Times New Roman" w:hAnsi="楷体" w:eastAsia="楷体" w:cs="Times New Roman"/>
          <w:color w:val="auto"/>
          <w:sz w:val="24"/>
        </w:rPr>
        <w:t>审核：</w:t>
      </w:r>
      <w:r>
        <w:rPr>
          <w:rFonts w:hint="eastAsia" w:ascii="Times New Roman" w:hAnsi="楷体" w:eastAsia="楷体" w:cs="Times New Roman"/>
          <w:color w:val="auto"/>
          <w:sz w:val="24"/>
          <w:lang w:val="en-US" w:eastAsia="zh-CN"/>
        </w:rPr>
        <w:t xml:space="preserve">                     </w:t>
      </w:r>
      <w:r>
        <w:rPr>
          <w:rFonts w:hint="eastAsia" w:ascii="Times New Roman" w:hAnsi="Times New Roman" w:eastAsia="楷体" w:cs="Times New Roman"/>
          <w:color w:val="auto"/>
          <w:sz w:val="24"/>
        </w:rPr>
        <w:t>签发</w:t>
      </w:r>
      <w:r>
        <w:rPr>
          <w:rFonts w:hint="eastAsia" w:ascii="Times New Roman" w:hAnsi="楷体" w:eastAsia="楷体" w:cs="Times New Roman"/>
          <w:color w:val="auto"/>
          <w:sz w:val="24"/>
        </w:rPr>
        <w:t>：</w:t>
      </w:r>
      <w:r>
        <w:rPr>
          <w:rFonts w:ascii="Times New Roman" w:hAnsi="Times New Roman" w:eastAsia="楷体" w:cs="Times New Roman"/>
          <w:color w:val="auto"/>
          <w:sz w:val="24"/>
        </w:rPr>
        <w:tab/>
      </w:r>
      <w:r>
        <w:rPr>
          <w:rFonts w:ascii="Times New Roman" w:hAnsi="Times New Roman" w:eastAsia="楷体" w:cs="Times New Roman"/>
          <w:color w:val="auto"/>
          <w:sz w:val="24"/>
        </w:rPr>
        <w:tab/>
      </w:r>
      <w:r>
        <w:rPr>
          <w:rFonts w:ascii="Times New Roman" w:hAnsi="Times New Roman" w:eastAsia="楷体" w:cs="Times New Roman"/>
          <w:color w:val="auto"/>
          <w:sz w:val="24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 w:firstLine="6360" w:firstLineChars="2650"/>
        <w:jc w:val="both"/>
        <w:textAlignment w:val="auto"/>
        <w:outlineLvl w:val="9"/>
        <w:rPr>
          <w:rFonts w:ascii="Times New Roman" w:hAnsi="楷体" w:eastAsia="楷体" w:cs="Times New Roman"/>
          <w:color w:val="auto"/>
          <w:sz w:val="24"/>
        </w:rPr>
      </w:pPr>
      <w:r>
        <w:rPr>
          <w:rFonts w:hint="eastAsia" w:ascii="Times New Roman" w:hAnsi="楷体" w:eastAsia="楷体" w:cs="Times New Roman"/>
          <w:color w:val="auto"/>
          <w:sz w:val="24"/>
        </w:rPr>
        <w:t>日期：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41" w:leftChars="-67" w:right="0" w:rightChars="0" w:firstLine="5301" w:firstLineChars="2209"/>
        <w:jc w:val="both"/>
        <w:textAlignment w:val="auto"/>
        <w:outlineLvl w:val="9"/>
        <w:rPr>
          <w:rFonts w:ascii="Times New Roman" w:hAnsi="楷体" w:eastAsia="楷体" w:cs="Times New Roman"/>
          <w:color w:val="auto"/>
          <w:sz w:val="24"/>
        </w:rPr>
      </w:pPr>
      <w:r>
        <w:rPr>
          <w:rFonts w:hint="eastAsia" w:ascii="Times New Roman" w:hAnsi="楷体" w:eastAsia="楷体" w:cs="Times New Roman"/>
          <w:color w:val="auto"/>
          <w:sz w:val="24"/>
        </w:rPr>
        <w:t>浙江浙海环保科技有限公司</w:t>
      </w:r>
    </w:p>
    <w:p>
      <w:pPr>
        <w:keepNext w:val="0"/>
        <w:keepLines w:val="0"/>
        <w:pageBreakBefore w:val="0"/>
        <w:widowControl/>
        <w:suppressLineNumbers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ascii="Times New Roman" w:hAnsi="楷体" w:eastAsia="楷体" w:cs="Times New Roman"/>
          <w:color w:val="auto"/>
          <w:sz w:val="24"/>
        </w:rPr>
      </w:pPr>
      <w:r>
        <w:rPr>
          <w:rFonts w:hint="eastAsia" w:ascii="Times New Roman" w:hAnsi="楷体" w:eastAsia="楷体" w:cs="Times New Roman"/>
          <w:color w:val="auto"/>
          <w:sz w:val="24"/>
        </w:rPr>
        <w:t>（检测报告专用章</w:t>
      </w:r>
      <w:r>
        <w:rPr>
          <w:rFonts w:hint="eastAsia" w:ascii="Times New Roman" w:hAnsi="楷体" w:eastAsia="楷体" w:cs="Times New Roman"/>
          <w:color w:val="auto"/>
          <w:sz w:val="24"/>
          <w:lang w:eastAsia="zh-CN"/>
        </w:rPr>
        <w:t>）</w:t>
      </w:r>
      <w:r>
        <w:rPr>
          <w:rFonts w:hint="eastAsia" w:ascii="Times New Roman" w:hAnsi="楷体" w:eastAsia="楷体" w:cs="Times New Roman"/>
          <w:color w:val="auto"/>
          <w:sz w:val="24"/>
          <w:lang w:val="en-US" w:eastAsia="zh-CN"/>
        </w:rPr>
        <w:t xml:space="preserve">          </w:t>
      </w:r>
    </w:p>
    <w:sectPr>
      <w:headerReference r:id="rId4" w:type="default"/>
      <w:pgSz w:w="11906" w:h="16838"/>
      <w:pgMar w:top="1134" w:right="1361" w:bottom="1134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eepNext w:val="0"/>
      <w:keepLines w:val="0"/>
      <w:pageBreakBefore w:val="0"/>
      <w:widowControl w:val="0"/>
      <w:tabs>
        <w:tab w:val="right" w:pos="8647"/>
        <w:tab w:val="clear" w:pos="8306"/>
      </w:tabs>
      <w:kinsoku/>
      <w:wordWrap/>
      <w:overflowPunct/>
      <w:topLinePunct w:val="0"/>
      <w:autoSpaceDE/>
      <w:autoSpaceDN/>
      <w:bidi w:val="0"/>
      <w:adjustRightInd/>
      <w:snapToGrid w:val="0"/>
      <w:ind w:left="-1121" w:leftChars="-534" w:right="-340" w:rightChars="-162" w:firstLine="720" w:firstLineChars="400"/>
      <w:textAlignment w:val="auto"/>
      <w:rPr>
        <w:rFonts w:ascii="Times New Roman" w:hAnsi="Times New Roman" w:eastAsia="楷体" w:cs="Times New Roman"/>
        <w:u w:val="single"/>
      </w:rPr>
    </w:pPr>
    <w:r>
      <w:rPr>
        <w:rFonts w:ascii="Times New Roman" w:hAnsi="楷体" w:eastAsia="楷体" w:cs="Times New Roman"/>
        <w:u w:val="single"/>
      </w:rPr>
      <w:t>报告编号：</w:t>
    </w:r>
    <w:r>
      <w:rPr>
        <w:rFonts w:ascii="Times New Roman" w:hAnsi="Times New Roman" w:eastAsia="楷体" w:cs="Times New Roman"/>
        <w:u w:val="single"/>
      </w:rPr>
      <w:t>ZH1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>9</w:t>
    </w:r>
    <w:r>
      <w:rPr>
        <w:rFonts w:ascii="Times New Roman" w:hAnsi="Times New Roman" w:eastAsia="楷体" w:cs="Times New Roman"/>
        <w:u w:val="single"/>
      </w:rPr>
      <w:t>-</w:t>
    </w:r>
    <w:r>
      <w:rPr>
        <w:rFonts w:hint="eastAsia" w:ascii="Times New Roman" w:hAnsi="Times New Roman" w:eastAsia="楷体" w:cs="Times New Roman"/>
        <w:u w:val="single"/>
      </w:rPr>
      <w:t>HBJC</w:t>
    </w:r>
    <w:r>
      <w:rPr>
        <w:rFonts w:ascii="Times New Roman" w:hAnsi="Times New Roman" w:eastAsia="楷体" w:cs="Times New Roman"/>
        <w:u w:val="single"/>
      </w:rPr>
      <w:t>-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>115</w:t>
    </w:r>
    <w:r>
      <w:rPr>
        <w:rFonts w:hint="eastAsia" w:ascii="Times New Roman" w:hAnsi="Times New Roman" w:eastAsia="楷体" w:cs="Times New Roman"/>
        <w:u w:val="single"/>
      </w:rPr>
      <w:t xml:space="preserve">                                 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 xml:space="preserve">   </w:t>
    </w:r>
    <w:r>
      <w:rPr>
        <w:rFonts w:hint="eastAsia" w:ascii="Times New Roman" w:hAnsi="Times New Roman" w:eastAsia="楷体" w:cs="Times New Roman"/>
        <w:u w:val="single"/>
      </w:rPr>
      <w:t xml:space="preserve">  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 xml:space="preserve">           </w:t>
    </w:r>
    <w:r>
      <w:rPr>
        <w:rFonts w:hint="eastAsia" w:ascii="Times New Roman" w:hAnsi="Times New Roman" w:eastAsia="楷体" w:cs="Times New Roman"/>
        <w:u w:val="single"/>
      </w:rPr>
      <w:t xml:space="preserve">              </w:t>
    </w:r>
    <w:r>
      <w:rPr>
        <w:rFonts w:ascii="Times New Roman" w:hAnsi="楷体" w:eastAsia="楷体" w:cs="Times New Roman"/>
        <w:u w:val="single"/>
      </w:rPr>
      <w:t>报告正文第</w:t>
    </w:r>
    <w:r>
      <w:rPr>
        <w:rFonts w:hint="eastAsia" w:ascii="Times New Roman" w:hAnsi="楷体" w:eastAsia="楷体" w:cs="Times New Roman"/>
        <w:u w:val="single"/>
        <w:lang w:val="en-US" w:eastAsia="zh-CN"/>
      </w:rPr>
      <w:t>13</w:t>
    </w:r>
    <w:r>
      <w:rPr>
        <w:rFonts w:ascii="Times New Roman" w:hAnsi="楷体" w:eastAsia="楷体" w:cs="Times New Roman"/>
        <w:u w:val="single"/>
      </w:rPr>
      <w:t>页共</w:t>
    </w:r>
    <w:r>
      <w:rPr>
        <w:rFonts w:hint="eastAsia" w:ascii="Times New Roman" w:hAnsi="楷体" w:eastAsia="楷体" w:cs="Times New Roman"/>
        <w:u w:val="single"/>
        <w:lang w:val="en-US" w:eastAsia="zh-CN"/>
      </w:rPr>
      <w:t>16</w:t>
    </w:r>
    <w:r>
      <w:rPr>
        <w:rFonts w:ascii="Times New Roman" w:hAnsi="楷体" w:eastAsia="楷体" w:cs="Times New Roman"/>
        <w:u w:val="single"/>
      </w:rPr>
      <w:t>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keepNext w:val="0"/>
      <w:keepLines w:val="0"/>
      <w:pageBreakBefore w:val="0"/>
      <w:widowControl w:val="0"/>
      <w:tabs>
        <w:tab w:val="right" w:pos="8647"/>
        <w:tab w:val="clear" w:pos="8306"/>
      </w:tabs>
      <w:kinsoku/>
      <w:wordWrap/>
      <w:overflowPunct/>
      <w:topLinePunct w:val="0"/>
      <w:autoSpaceDE/>
      <w:autoSpaceDN/>
      <w:bidi w:val="0"/>
      <w:adjustRightInd/>
      <w:snapToGrid w:val="0"/>
      <w:ind w:left="-1121" w:leftChars="-534" w:right="-340" w:rightChars="-162" w:firstLine="720" w:firstLineChars="400"/>
      <w:textAlignment w:val="auto"/>
      <w:rPr>
        <w:rFonts w:ascii="Times New Roman" w:hAnsi="Times New Roman" w:eastAsia="楷体" w:cs="Times New Roman"/>
        <w:u w:val="single"/>
      </w:rPr>
    </w:pPr>
    <w:r>
      <w:rPr>
        <w:rFonts w:ascii="Times New Roman" w:hAnsi="楷体" w:eastAsia="楷体" w:cs="Times New Roman"/>
        <w:u w:val="single"/>
      </w:rPr>
      <w:t>报告编号：</w:t>
    </w:r>
    <w:r>
      <w:rPr>
        <w:rFonts w:ascii="Times New Roman" w:hAnsi="Times New Roman" w:eastAsia="楷体" w:cs="Times New Roman"/>
        <w:u w:val="single"/>
      </w:rPr>
      <w:t>ZH1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>9</w:t>
    </w:r>
    <w:r>
      <w:rPr>
        <w:rFonts w:ascii="Times New Roman" w:hAnsi="Times New Roman" w:eastAsia="楷体" w:cs="Times New Roman"/>
        <w:u w:val="single"/>
      </w:rPr>
      <w:t>-</w:t>
    </w:r>
    <w:r>
      <w:rPr>
        <w:rFonts w:hint="eastAsia" w:ascii="Times New Roman" w:hAnsi="Times New Roman" w:eastAsia="楷体" w:cs="Times New Roman"/>
        <w:u w:val="single"/>
      </w:rPr>
      <w:t>HBJC</w:t>
    </w:r>
    <w:r>
      <w:rPr>
        <w:rFonts w:ascii="Times New Roman" w:hAnsi="Times New Roman" w:eastAsia="楷体" w:cs="Times New Roman"/>
        <w:u w:val="single"/>
      </w:rPr>
      <w:t>-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>115</w:t>
    </w:r>
    <w:r>
      <w:rPr>
        <w:rFonts w:hint="eastAsia" w:ascii="Times New Roman" w:hAnsi="Times New Roman" w:eastAsia="楷体" w:cs="Times New Roman"/>
        <w:u w:val="single"/>
      </w:rPr>
      <w:t xml:space="preserve">                                 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 xml:space="preserve">   </w:t>
    </w:r>
    <w:r>
      <w:rPr>
        <w:rFonts w:hint="eastAsia" w:ascii="Times New Roman" w:hAnsi="Times New Roman" w:eastAsia="楷体" w:cs="Times New Roman"/>
        <w:u w:val="single"/>
      </w:rPr>
      <w:t xml:space="preserve">  </w:t>
    </w:r>
    <w:r>
      <w:rPr>
        <w:rFonts w:hint="eastAsia" w:ascii="Times New Roman" w:hAnsi="Times New Roman" w:eastAsia="楷体" w:cs="Times New Roman"/>
        <w:u w:val="single"/>
        <w:lang w:val="en-US" w:eastAsia="zh-CN"/>
      </w:rPr>
      <w:t xml:space="preserve">           </w:t>
    </w:r>
    <w:r>
      <w:rPr>
        <w:rFonts w:hint="eastAsia" w:ascii="Times New Roman" w:hAnsi="Times New Roman" w:eastAsia="楷体" w:cs="Times New Roman"/>
        <w:u w:val="single"/>
      </w:rPr>
      <w:t xml:space="preserve">              </w:t>
    </w:r>
    <w:r>
      <w:rPr>
        <w:rFonts w:ascii="Times New Roman" w:hAnsi="楷体" w:eastAsia="楷体" w:cs="Times New Roman"/>
        <w:u w:val="single"/>
      </w:rPr>
      <w:t>报告正文第</w:t>
    </w:r>
    <w:r>
      <w:rPr>
        <w:rFonts w:hint="eastAsia" w:ascii="Times New Roman" w:hAnsi="楷体" w:eastAsia="楷体" w:cs="Times New Roman"/>
        <w:u w:val="single"/>
        <w:lang w:val="en-US" w:eastAsia="zh-CN"/>
      </w:rPr>
      <w:t>11</w:t>
    </w:r>
    <w:r>
      <w:rPr>
        <w:rFonts w:ascii="Times New Roman" w:hAnsi="楷体" w:eastAsia="楷体" w:cs="Times New Roman"/>
        <w:u w:val="single"/>
      </w:rPr>
      <w:t>页共</w:t>
    </w:r>
    <w:r>
      <w:rPr>
        <w:rFonts w:hint="eastAsia" w:ascii="Times New Roman" w:hAnsi="楷体" w:eastAsia="楷体" w:cs="Times New Roman"/>
        <w:u w:val="single"/>
        <w:lang w:val="en-US" w:eastAsia="zh-CN"/>
      </w:rPr>
      <w:t>16</w:t>
    </w:r>
    <w:r>
      <w:rPr>
        <w:rFonts w:ascii="Times New Roman" w:hAnsi="楷体" w:eastAsia="楷体" w:cs="Times New Roman"/>
        <w:u w:val="single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3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D3"/>
    <w:rsid w:val="0018270F"/>
    <w:rsid w:val="0027722B"/>
    <w:rsid w:val="003270DA"/>
    <w:rsid w:val="003F2845"/>
    <w:rsid w:val="0040478A"/>
    <w:rsid w:val="004A4F7C"/>
    <w:rsid w:val="005453D3"/>
    <w:rsid w:val="005859F3"/>
    <w:rsid w:val="00612C11"/>
    <w:rsid w:val="006C3727"/>
    <w:rsid w:val="00837632"/>
    <w:rsid w:val="00850606"/>
    <w:rsid w:val="008722CA"/>
    <w:rsid w:val="009660D0"/>
    <w:rsid w:val="009940C5"/>
    <w:rsid w:val="009A65BB"/>
    <w:rsid w:val="009E66DE"/>
    <w:rsid w:val="00A0098B"/>
    <w:rsid w:val="00A16ABF"/>
    <w:rsid w:val="00AD6B9E"/>
    <w:rsid w:val="00AF2DBC"/>
    <w:rsid w:val="00BF3019"/>
    <w:rsid w:val="00C97FF1"/>
    <w:rsid w:val="00CC370D"/>
    <w:rsid w:val="00E414E9"/>
    <w:rsid w:val="00EB3B93"/>
    <w:rsid w:val="00F30ED8"/>
    <w:rsid w:val="00F75FC1"/>
    <w:rsid w:val="00FC2F25"/>
    <w:rsid w:val="00FD4555"/>
    <w:rsid w:val="01451C11"/>
    <w:rsid w:val="018A6778"/>
    <w:rsid w:val="0224170D"/>
    <w:rsid w:val="02F54ADC"/>
    <w:rsid w:val="03871853"/>
    <w:rsid w:val="05346B1E"/>
    <w:rsid w:val="064A2877"/>
    <w:rsid w:val="076D717A"/>
    <w:rsid w:val="07977829"/>
    <w:rsid w:val="09413511"/>
    <w:rsid w:val="0B1E308F"/>
    <w:rsid w:val="0B92349A"/>
    <w:rsid w:val="0BBC2C3F"/>
    <w:rsid w:val="0BC44C90"/>
    <w:rsid w:val="0BCB4E73"/>
    <w:rsid w:val="0BD73515"/>
    <w:rsid w:val="0C055F6B"/>
    <w:rsid w:val="0CF06258"/>
    <w:rsid w:val="0CFC2B7D"/>
    <w:rsid w:val="0CFE4EF2"/>
    <w:rsid w:val="0D514610"/>
    <w:rsid w:val="0DA56BBC"/>
    <w:rsid w:val="0DD20D5C"/>
    <w:rsid w:val="0E05675B"/>
    <w:rsid w:val="0EB73A3E"/>
    <w:rsid w:val="0F2D4971"/>
    <w:rsid w:val="0F7E1B28"/>
    <w:rsid w:val="10306382"/>
    <w:rsid w:val="10AA7F33"/>
    <w:rsid w:val="10E33193"/>
    <w:rsid w:val="10E86C76"/>
    <w:rsid w:val="12DF1A21"/>
    <w:rsid w:val="12E70B62"/>
    <w:rsid w:val="13545E5A"/>
    <w:rsid w:val="1396764B"/>
    <w:rsid w:val="13D02ECA"/>
    <w:rsid w:val="144E0C8A"/>
    <w:rsid w:val="149F4DA3"/>
    <w:rsid w:val="15DA2985"/>
    <w:rsid w:val="15E47A2A"/>
    <w:rsid w:val="16205BEC"/>
    <w:rsid w:val="167E1910"/>
    <w:rsid w:val="16A45A61"/>
    <w:rsid w:val="16DB3D4E"/>
    <w:rsid w:val="173C6D02"/>
    <w:rsid w:val="174D0CBA"/>
    <w:rsid w:val="17802D07"/>
    <w:rsid w:val="17B90271"/>
    <w:rsid w:val="188658B6"/>
    <w:rsid w:val="18B7156D"/>
    <w:rsid w:val="18CB1CA2"/>
    <w:rsid w:val="195E6F62"/>
    <w:rsid w:val="197C1A25"/>
    <w:rsid w:val="1A78429A"/>
    <w:rsid w:val="1B0F7C78"/>
    <w:rsid w:val="1B255082"/>
    <w:rsid w:val="1B2B4C8B"/>
    <w:rsid w:val="1B836194"/>
    <w:rsid w:val="1BD35F62"/>
    <w:rsid w:val="1CCD3443"/>
    <w:rsid w:val="1D9A74F4"/>
    <w:rsid w:val="1DF757BC"/>
    <w:rsid w:val="1DF8358C"/>
    <w:rsid w:val="1E770DD4"/>
    <w:rsid w:val="1EDA222A"/>
    <w:rsid w:val="1FB069CE"/>
    <w:rsid w:val="1FDF0F02"/>
    <w:rsid w:val="221A5BB9"/>
    <w:rsid w:val="224118E4"/>
    <w:rsid w:val="2268648F"/>
    <w:rsid w:val="23340DB3"/>
    <w:rsid w:val="258B198F"/>
    <w:rsid w:val="26AA066A"/>
    <w:rsid w:val="26FF3DA7"/>
    <w:rsid w:val="277F54CE"/>
    <w:rsid w:val="27B10104"/>
    <w:rsid w:val="28A321ED"/>
    <w:rsid w:val="28C93DC7"/>
    <w:rsid w:val="2953332A"/>
    <w:rsid w:val="29F75B22"/>
    <w:rsid w:val="2B043EB4"/>
    <w:rsid w:val="2B5C18F4"/>
    <w:rsid w:val="2B7E183C"/>
    <w:rsid w:val="2BCC6141"/>
    <w:rsid w:val="2D921312"/>
    <w:rsid w:val="2E64346E"/>
    <w:rsid w:val="2EC40877"/>
    <w:rsid w:val="2EE553A6"/>
    <w:rsid w:val="2FA32576"/>
    <w:rsid w:val="30D065DD"/>
    <w:rsid w:val="30D44D5B"/>
    <w:rsid w:val="30FA77EF"/>
    <w:rsid w:val="3137354D"/>
    <w:rsid w:val="314E6BE6"/>
    <w:rsid w:val="323563B0"/>
    <w:rsid w:val="334140DE"/>
    <w:rsid w:val="34C86E05"/>
    <w:rsid w:val="35395844"/>
    <w:rsid w:val="35AA0DC2"/>
    <w:rsid w:val="366B180D"/>
    <w:rsid w:val="379A7EBC"/>
    <w:rsid w:val="387E5938"/>
    <w:rsid w:val="38FF59FC"/>
    <w:rsid w:val="397255F4"/>
    <w:rsid w:val="3A23057D"/>
    <w:rsid w:val="3B0C2E53"/>
    <w:rsid w:val="3C322F73"/>
    <w:rsid w:val="3CD815A8"/>
    <w:rsid w:val="3DC5779D"/>
    <w:rsid w:val="3E7140B1"/>
    <w:rsid w:val="3E76327B"/>
    <w:rsid w:val="3F6E725C"/>
    <w:rsid w:val="3F725242"/>
    <w:rsid w:val="3F9A239C"/>
    <w:rsid w:val="40630E56"/>
    <w:rsid w:val="40BB7E8F"/>
    <w:rsid w:val="43AA3C19"/>
    <w:rsid w:val="44061D1F"/>
    <w:rsid w:val="4540685F"/>
    <w:rsid w:val="45BB7792"/>
    <w:rsid w:val="45CD62CE"/>
    <w:rsid w:val="47035396"/>
    <w:rsid w:val="474D4BC4"/>
    <w:rsid w:val="484F2FB4"/>
    <w:rsid w:val="48C7537C"/>
    <w:rsid w:val="492D628D"/>
    <w:rsid w:val="4A0845E7"/>
    <w:rsid w:val="4C547B5E"/>
    <w:rsid w:val="4C5D3EF4"/>
    <w:rsid w:val="4C9271FA"/>
    <w:rsid w:val="4CFE3382"/>
    <w:rsid w:val="4D3F226C"/>
    <w:rsid w:val="4E763EFA"/>
    <w:rsid w:val="4ED2754D"/>
    <w:rsid w:val="4F81317C"/>
    <w:rsid w:val="50CE23E5"/>
    <w:rsid w:val="519E7F37"/>
    <w:rsid w:val="526530D5"/>
    <w:rsid w:val="53D420D0"/>
    <w:rsid w:val="54A724E2"/>
    <w:rsid w:val="5522034A"/>
    <w:rsid w:val="56B21495"/>
    <w:rsid w:val="56B50AD2"/>
    <w:rsid w:val="56BF2250"/>
    <w:rsid w:val="57397E59"/>
    <w:rsid w:val="59700EB0"/>
    <w:rsid w:val="5A6B356E"/>
    <w:rsid w:val="5AA116FD"/>
    <w:rsid w:val="5AC840D9"/>
    <w:rsid w:val="5B754C6B"/>
    <w:rsid w:val="5BCC543E"/>
    <w:rsid w:val="5CE36214"/>
    <w:rsid w:val="5D7430CA"/>
    <w:rsid w:val="5E086E1E"/>
    <w:rsid w:val="5EFF2D94"/>
    <w:rsid w:val="60523B97"/>
    <w:rsid w:val="606B343C"/>
    <w:rsid w:val="616A683D"/>
    <w:rsid w:val="62342683"/>
    <w:rsid w:val="630404A8"/>
    <w:rsid w:val="631810C0"/>
    <w:rsid w:val="63983F46"/>
    <w:rsid w:val="640621A1"/>
    <w:rsid w:val="644C7C62"/>
    <w:rsid w:val="64AB1BA4"/>
    <w:rsid w:val="64FD0EC3"/>
    <w:rsid w:val="65CF6FD0"/>
    <w:rsid w:val="66044486"/>
    <w:rsid w:val="660F4D68"/>
    <w:rsid w:val="664D1A29"/>
    <w:rsid w:val="66CB5D4C"/>
    <w:rsid w:val="66F6112E"/>
    <w:rsid w:val="67B679F0"/>
    <w:rsid w:val="67E31AE2"/>
    <w:rsid w:val="67E92AD7"/>
    <w:rsid w:val="686A5BFF"/>
    <w:rsid w:val="69C40AAE"/>
    <w:rsid w:val="6A972587"/>
    <w:rsid w:val="6AD51765"/>
    <w:rsid w:val="6B974E60"/>
    <w:rsid w:val="6C894F04"/>
    <w:rsid w:val="6E8358C1"/>
    <w:rsid w:val="70FF4B94"/>
    <w:rsid w:val="713B7E72"/>
    <w:rsid w:val="714E12AC"/>
    <w:rsid w:val="71804767"/>
    <w:rsid w:val="721019B2"/>
    <w:rsid w:val="72312A61"/>
    <w:rsid w:val="72B07A45"/>
    <w:rsid w:val="72BD151B"/>
    <w:rsid w:val="72F757F5"/>
    <w:rsid w:val="730E6CF3"/>
    <w:rsid w:val="736D4D47"/>
    <w:rsid w:val="7371159A"/>
    <w:rsid w:val="74D25649"/>
    <w:rsid w:val="74FF0FD8"/>
    <w:rsid w:val="77C90D83"/>
    <w:rsid w:val="782947A4"/>
    <w:rsid w:val="78A20A01"/>
    <w:rsid w:val="79966518"/>
    <w:rsid w:val="79A23D8E"/>
    <w:rsid w:val="7A545D22"/>
    <w:rsid w:val="7B717D74"/>
    <w:rsid w:val="7C335AF1"/>
    <w:rsid w:val="7CEC7C11"/>
    <w:rsid w:val="7D2C4DDD"/>
    <w:rsid w:val="7D435237"/>
    <w:rsid w:val="7DAC7331"/>
    <w:rsid w:val="7EEE6695"/>
    <w:rsid w:val="7F3218E8"/>
    <w:rsid w:val="7F995E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0"/>
    <w:qFormat/>
    <w:uiPriority w:val="0"/>
    <w:pPr>
      <w:ind w:firstLine="880" w:firstLineChars="200"/>
    </w:pPr>
    <w:rPr>
      <w:rFonts w:ascii="楷体_GB2312" w:hAnsi="Times New Roman" w:eastAsia="楷体_GB2312" w:cs="Times New Roman"/>
      <w:sz w:val="4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Subtitle"/>
    <w:basedOn w:val="1"/>
    <w:next w:val="1"/>
    <w:qFormat/>
    <w:uiPriority w:val="0"/>
    <w:pPr>
      <w:widowControl/>
      <w:spacing w:line="360" w:lineRule="auto"/>
      <w:jc w:val="left"/>
      <w:outlineLvl w:val="1"/>
    </w:pPr>
    <w:rPr>
      <w:rFonts w:eastAsia="仿宋"/>
      <w:b/>
      <w:bCs/>
      <w:kern w:val="28"/>
      <w:sz w:val="28"/>
      <w:szCs w:val="32"/>
      <w:lang w:eastAsia="en-US"/>
    </w:rPr>
  </w:style>
  <w:style w:type="table" w:styleId="7">
    <w:name w:val="Table Grid"/>
    <w:basedOn w:val="6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0">
    <w:name w:val="正文文本缩进 Char"/>
    <w:basedOn w:val="8"/>
    <w:link w:val="2"/>
    <w:qFormat/>
    <w:uiPriority w:val="0"/>
    <w:rPr>
      <w:rFonts w:ascii="楷体_GB2312" w:hAnsi="Times New Roman" w:eastAsia="楷体_GB2312" w:cs="Times New Roman"/>
      <w:kern w:val="2"/>
      <w:sz w:val="44"/>
      <w:szCs w:val="24"/>
    </w:rPr>
  </w:style>
  <w:style w:type="character" w:customStyle="1" w:styleId="11">
    <w:name w:val="font61"/>
    <w:basedOn w:val="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2">
    <w:name w:val="font41"/>
    <w:basedOn w:val="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3">
    <w:name w:val="font51"/>
    <w:basedOn w:val="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4">
    <w:name w:val="font31"/>
    <w:basedOn w:val="8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5">
    <w:name w:val="font11"/>
    <w:basedOn w:val="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6">
    <w:name w:val="font21"/>
    <w:basedOn w:val="8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7">
    <w:name w:val="font01"/>
    <w:basedOn w:val="8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ZHHB</Company>
  <Pages>5</Pages>
  <Words>1329</Words>
  <Characters>1130</Characters>
  <Lines>9</Lines>
  <Paragraphs>4</Paragraphs>
  <TotalTime>0</TotalTime>
  <ScaleCrop>false</ScaleCrop>
  <LinksUpToDate>false</LinksUpToDate>
  <CharactersWithSpaces>2455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Administrator.PC-20171107GLCA</dc:creator>
  <cp:lastModifiedBy>Administrator</cp:lastModifiedBy>
  <cp:lastPrinted>2019-04-24T06:44:00Z</cp:lastPrinted>
  <dcterms:modified xsi:type="dcterms:W3CDTF">2019-04-24T08:43:28Z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